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9" w:lineRule="auto"/>
        <w:ind w:left="3" w:right="4" w:firstLine="0"/>
        <w:jc w:val="center"/>
        <w:rPr/>
      </w:pPr>
      <w:r w:rsidDel="00000000" w:rsidR="00000000" w:rsidRPr="00000000">
        <w:rPr>
          <w:rtl w:val="0"/>
        </w:rPr>
        <w:t xml:space="preserve">SPONSORED RESEARCH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SPONSORED RESEARCH AGREEMENT (the “Agreement”), effective as of the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84"/>
          <w:tab w:val="left" w:leader="none" w:pos="3299"/>
          <w:tab w:val="left" w:leader="none" w:pos="9482"/>
        </w:tabs>
        <w:spacing w:after="0" w:before="3" w:line="242" w:lineRule="auto"/>
        <w:ind w:left="1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(the “Effective Date”), is by and between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[Company Name] 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[Company’s state of incorporation and entity type] (hereinafter referred to as "Sponsor") and Lehigh University, a Pennsylvania non-profit corporation (hereinafter referred to as "University").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6" w:right="3" w:firstLine="0"/>
        <w:jc w:val="center"/>
        <w:rPr/>
      </w:pPr>
      <w:r w:rsidDel="00000000" w:rsidR="00000000" w:rsidRPr="00000000">
        <w:rPr>
          <w:rtl w:val="0"/>
        </w:rPr>
        <w:t xml:space="preserve">WITNESSETH:</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1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the research program contemplated by this Agreement is of mutual interest and benefit to University and to Sponsor, will further the educational and research objectives of University in a manner consistent with its status as a non-profit, tax-exempt educational institution, and may derive benefits for both Sponsor and University through research findings, inventions, and/or discoveries;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THEREFORE, in consideration of the premises, the mutual covenants herein contained and intending to be legally bound, the parties hereto agree to the following: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left="119" w:firstLine="0"/>
        <w:jc w:val="both"/>
        <w:rPr/>
      </w:pPr>
      <w:r w:rsidDel="00000000" w:rsidR="00000000" w:rsidRPr="00000000">
        <w:rPr>
          <w:rtl w:val="0"/>
        </w:rPr>
        <w:t xml:space="preserve">Article 1 - Definitions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used herein, the following terms shall have the following meanings: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3"/>
          <w:tab w:val="left" w:leader="none" w:pos="9480"/>
        </w:tabs>
        <w:spacing w:after="0" w:before="1" w:line="240" w:lineRule="auto"/>
        <w:ind w:left="983" w:right="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shall   mean   the   project   titled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3"/>
        </w:tabs>
        <w:spacing w:after="0" w:before="4" w:line="242" w:lineRule="auto"/>
        <w:ind w:left="983"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described in Appendix A attached hereto and incorporated by reference as a material part of this Agreement, under the direction of the Principal Investigator.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3"/>
          <w:tab w:val="left" w:leader="none" w:pos="8764"/>
        </w:tabs>
        <w:spacing w:after="0" w:before="1" w:line="240" w:lineRule="auto"/>
        <w:ind w:left="983" w:right="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"Agreement Term" is from the Effective Date through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3"/>
        </w:tabs>
        <w:spacing w:after="0" w:before="0" w:line="242" w:lineRule="auto"/>
        <w:ind w:left="983" w:right="115"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Intellectual Property" shall mean individually and collectively all inventions, improvements and/or discoveries which, in performance of the Project, are conceived and/or made solely by one or more employees of University, whether patentable, copyrightable or not.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3"/>
        </w:tabs>
        <w:spacing w:after="0" w:before="1" w:line="242" w:lineRule="auto"/>
        <w:ind w:left="983" w:right="116"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Intellectual Property" shall mean individually and collectively all inventions, improvements and/or discoveries which, in performance of the Project, are conceived and/or made jointly by one or more employees of University and by one or more employees of Sponsor, whether patentable, copyrightable or not.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91"/>
        </w:tabs>
        <w:spacing w:after="0" w:before="0" w:line="242" w:lineRule="auto"/>
        <w:ind w:left="991" w:right="115" w:hanging="8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Intellectual Property" shall mean individually and collectively all inventions, improvements and/or discoveries which, in performance of the Project, are conceived and/or made solely by one or more employees of Sponsor, whether patentable, copyrightable or not.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19"/>
        </w:tabs>
        <w:spacing w:after="0" w:before="1" w:line="240" w:lineRule="auto"/>
        <w:ind w:left="1019" w:right="0" w:hanging="90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7" w:type="default"/>
          <w:pgSz w:h="15840" w:w="12240" w:orient="portrait"/>
          <w:pgMar w:bottom="1020" w:top="1360" w:left="1320" w:right="1320" w:header="0" w:footer="834"/>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Investigator” shall mean the individual(s) identified as such on Appendix 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2" w:lineRule="auto"/>
        <w:ind w:left="10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hereto, who is/are the University faculty member(s) responsible for supervision and administration of the Project or such individual’s successor in accordance with Section 2.2.</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ind w:firstLine="120"/>
        <w:rPr/>
      </w:pPr>
      <w:r w:rsidDel="00000000" w:rsidR="00000000" w:rsidRPr="00000000">
        <w:rPr>
          <w:rtl w:val="0"/>
        </w:rPr>
        <w:t xml:space="preserve">Article 2 – Conduct of Research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84"/>
        </w:tabs>
        <w:spacing w:after="0" w:before="0" w:line="242" w:lineRule="auto"/>
        <w:ind w:left="984" w:right="118"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shall use reasonable efforts to commence the Project promptly after the Effective Date and to conduct the Project substantially in accordance with the terms and conditions of this Agreement. Sponsor acknowledges that University and the Principal Investigator must conduct the Project in a manner consistent with University’s educational and research missions. Anything in this Agreement to the contrary notwithstanding, Sponsor and University may at any time amend the Project by mutual written agreement signed by their authorized representatives.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84"/>
        </w:tabs>
        <w:spacing w:after="0" w:before="0" w:line="242" w:lineRule="auto"/>
        <w:ind w:left="984" w:right="116"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Principal Investigator becomes unable or unwilling to continue Project, and a mutually acceptable substitution is not available, University and/or Sponsor shall have the option to terminate said Project, subject to the provisions of Article 10, by giving written notice to the other party of such termination.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84"/>
        </w:tabs>
        <w:spacing w:after="0" w:before="0" w:line="244" w:lineRule="auto"/>
        <w:ind w:left="984" w:right="116"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shall promptly provide University with such information or documents of whatever form or nature, or undertake such actions, as University may reasonably require in order to conduct the Project.</w:t>
      </w:r>
    </w:p>
    <w:p w:rsidR="00000000" w:rsidDel="00000000" w:rsidP="00000000" w:rsidRDefault="00000000" w:rsidRPr="00000000" w14:paraId="00000025">
      <w:pPr>
        <w:pStyle w:val="Heading1"/>
        <w:spacing w:before="274" w:lineRule="auto"/>
        <w:ind w:firstLine="120"/>
        <w:rPr/>
      </w:pPr>
      <w:r w:rsidDel="00000000" w:rsidR="00000000" w:rsidRPr="00000000">
        <w:rPr>
          <w:rtl w:val="0"/>
        </w:rPr>
        <w:t xml:space="preserve">Article 3 - Confidentiality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117"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Agreement, "Confidential Information" shall mean such technical, scientific, financial and business information of a party, which is not generally available to others and which such party endeavors to maintain as confidential.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117"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such Confidential Information disclosed to either party and entitled to protection hereunder shall be marked "Confidential" in a clear and conspicuous manner if disclosed in documentary form. Confidential Information disclosed in non-documentary form (e.g. oral, visual, etc.) and entitled to protection hereunder shall be confirmed in writing as “CONFIDENTIAL” within thirty (30) days of any such disclosure.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40"/>
        </w:tabs>
        <w:spacing w:after="0" w:before="1" w:line="240" w:lineRule="auto"/>
        <w:ind w:left="840" w:right="118"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period of two (2) years after the date the disclosing party discloses its Confidential Information to the receiving party (the “Confidential Period”), the receiving party agrees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to hold in confidence the Confidential Information disclosed to it by the other party, using such efforts to preserve the confidentiality of such Confidential Information as it uses with its own confidential information of like sensitivity, (ii) not to disclose such Confidential Information to anyone except such of its employees, representatives and agents (“Representatives”) to the extent such persons have a need to know such information to effectuate the purposes of this Agreement, and (iii) not to use such Confidential Information for a purpose not covered by this Agreement, unless: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71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8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Confidential Information is a part of the public domain prior to the Effective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931"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Confidential Information is a part of the public domain other than due to a breach of this Agreement by the receiving party; or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931"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receiving party can demonstrate, by contemporaneous documentation, that it or its affiliate(s) independently developed knowledge of such Confidential Information without reference to or use of the disclosing party’s Confidential Information; 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931"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Confidential Information is disclosed to the receiving party by a third party who has the legal right to make such disclosure; 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931"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Permission to disclose said Confidential Information or to make use thereof is obtained by the receiving party from the disclosing party in writing.</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receiving party shall (i) advise its Representatives of the obligations set forth in this Article before granting them access to the Confidential Information, (ii) require its Representatives to maintain those obligations, and (iii) be responsible and liable for any breach of this Article by its Representatives.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931" w:right="114"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shall remain the property of the disclosing party and all written or otherwise recorded Confidential Information shall be returned to the disclosing party upon first written request or expiration of this Agreement, whichever is first. It is understood that nothing herein shall be construed as granting or implying any right under any intellectual property rights, or as permitting a receiving party to unfairly obtain the right to use Confidential Information which becomes publicly known through an improper act or omission on its part.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ind w:firstLine="120"/>
        <w:rPr/>
      </w:pPr>
      <w:r w:rsidDel="00000000" w:rsidR="00000000" w:rsidRPr="00000000">
        <w:rPr>
          <w:rtl w:val="0"/>
        </w:rPr>
        <w:t xml:space="preserve">Article 4 - Reports and Conferences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31"/>
        </w:tabs>
        <w:spacing w:after="0" w:before="1" w:line="240" w:lineRule="auto"/>
        <w:ind w:left="931" w:right="117"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reports will be provided by University to Sponsor as may be set forth on Appendix A, and a final report will be submitted by University at the conclusion of the Agreement Term or earlier termination of this Agreement.</w:t>
      </w:r>
    </w:p>
    <w:p w:rsidR="00000000" w:rsidDel="00000000" w:rsidP="00000000" w:rsidRDefault="00000000" w:rsidRPr="00000000" w14:paraId="0000004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31"/>
        </w:tabs>
        <w:spacing w:after="0" w:before="276" w:line="240"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Agreement Term, representatives of University will meet with representatives of Sponsor at such reasonable times and places as may be set forth in Appendix A to discuss the progress and results of, as well as ongoing plans or changes for, the Project.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ind w:firstLine="120"/>
        <w:rPr/>
      </w:pPr>
      <w:r w:rsidDel="00000000" w:rsidR="00000000" w:rsidRPr="00000000">
        <w:rPr>
          <w:rtl w:val="0"/>
        </w:rPr>
        <w:t xml:space="preserve">Article 5 - Costs, Billings and Other Support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84"/>
          <w:tab w:val="left" w:leader="none" w:pos="6796"/>
          <w:tab w:val="left" w:leader="none" w:pos="7955"/>
        </w:tabs>
        <w:spacing w:after="0" w:before="1" w:line="242" w:lineRule="auto"/>
        <w:ind w:left="984" w:right="115"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agreed to and understood by the parties hereto that except as may be otherwise agreed by the parties in writing, total costs to Sponsor for the Project hereunder shall not exceed the sum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Payment to University shall be made by Sponsor according to the following schedule: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9"/>
          <w:tab w:val="left" w:leader="none" w:pos="5639"/>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6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9"/>
          <w:tab w:val="left" w:leader="none" w:pos="5639"/>
        </w:tabs>
        <w:spacing w:after="0" w:before="61"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9"/>
          <w:tab w:val="left" w:leader="none" w:pos="5639"/>
        </w:tabs>
        <w:spacing w:after="0" w:before="3"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9"/>
          <w:tab w:val="left" w:leader="none" w:pos="5639"/>
        </w:tabs>
        <w:spacing w:after="0" w:before="4"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84"/>
        </w:tabs>
        <w:spacing w:after="0" w:before="0" w:line="242" w:lineRule="auto"/>
        <w:ind w:left="984" w:right="115"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herein to the contrary notwithstanding, in the event of early termination of this Agreement by either party, Sponsor shall pay all costs and noncancellable commitments incurred by University through and including the date of termination as provided in Article 10.3.</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20"/>
        </w:tabs>
        <w:spacing w:after="0" w:before="0" w:line="242" w:lineRule="auto"/>
        <w:ind w:left="1020" w:right="116" w:hanging="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shall retain title to all equipment, materials, and supplies purchased and/or fabricated by it with funds provided by Sponsor under this Agreement.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20"/>
        </w:tabs>
        <w:spacing w:after="0" w:before="0" w:line="242" w:lineRule="auto"/>
        <w:ind w:left="1020" w:right="114" w:hanging="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sums due and owing by Sponsor to University not paid by their due date shall bear interest at the rate of 1.5% per month from the date due until paid. Sponsor shall be liable for any and all costs and expenses incurred by University in enforcing the payment terms of this Agreement.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ind w:firstLine="120"/>
        <w:rPr/>
      </w:pPr>
      <w:r w:rsidDel="00000000" w:rsidR="00000000" w:rsidRPr="00000000">
        <w:rPr>
          <w:rtl w:val="0"/>
        </w:rPr>
        <w:t xml:space="preserve">Article 6 – Publicity and Use of Name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shall not use the name of University, the Principal Investigator, or any member of University's Project staff, in any publicity, advertising or news release without the prior written approval of the University’s Director of the Office of Research and Sponsored Programs and the Vice President for Communications and Public Affairs or their authorized designees.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spacing w:before="1" w:lineRule="auto"/>
        <w:ind w:firstLine="120"/>
        <w:rPr/>
      </w:pPr>
      <w:r w:rsidDel="00000000" w:rsidR="00000000" w:rsidRPr="00000000">
        <w:rPr>
          <w:rtl w:val="0"/>
        </w:rPr>
        <w:t xml:space="preserve">Article 7 - Publications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2" w:lineRule="auto"/>
        <w:ind w:left="1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recognizes that under University policy, the results of University projects, including the Project, must be publishable and agrees that the Principal Investigator and the researchers engaged in the Project shall be permitted to present at symposia, national or regional professional meetings, and to publish in journals, theses or dissertations, or otherwise of their own choosing, the methods and results of the Project, provided however, that Sponsor shall have been furnished copies of any proposed publication or presentation at least thirty (30) days in advance of the submission of such proposed publication or presentation to a journal, editor or other third party. Sponsor shall have thirty (30) days after receipt of said copies to request a delay in such proposed presentation or proposed publication for the sole reason that Sponsor believes there is patentable subject matter that needs protection. In the event that Sponsor timely makes such a request for delay by giving written notice to University, the Principal Investigator or researcher(s) shall refrain from making such publication or presentation for not more than ninety (90) days from date of receipt of such objection in order for University to file one or more patent application(s) with the United States Patent and Trademark Office and/or foreign patent office(s) directed to the patentable subject matter contained in the proposed publication or presentation.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ind w:firstLine="120"/>
        <w:rPr/>
      </w:pPr>
      <w:r w:rsidDel="00000000" w:rsidR="00000000" w:rsidRPr="00000000">
        <w:rPr>
          <w:rtl w:val="0"/>
        </w:rPr>
        <w:t xml:space="preserve">Article 8 - Intellectual Property Ownership and Protection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31"/>
        </w:tabs>
        <w:spacing w:after="0" w:before="0" w:line="244" w:lineRule="auto"/>
        <w:ind w:left="931" w:right="114"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8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Investigator shall provide to University and Sponsor a complete written disclosure of any University Intellectual Property or Joint Intellectual Property conceived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2" w:lineRule="auto"/>
        <w:ind w:left="931"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and/or made during the Agreement Term in performance of the Project. Sponsor shall advise University in writing, no later than thirty (30) days after receipt of such disclosure, whether it requests University to file and prosecute a patent, copyright, or other intellectual property application related to such University Intellectual Property or Joint Intellectual Property. If Sponsor does not request University to file and prosecute such patent applications (or decides not to continue with prosecution or maintenance of applications), University may proceed (or continue) with such preparation and prosecution at its own cost and expense; but the University and/or Joint Intellectual Property that is the subject of such patent applications shall be excluded from Sponsor’s option under Article 9.</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31"/>
        </w:tabs>
        <w:spacing w:after="0" w:before="0" w:line="242"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otherwise agreed by the parties in writing, University shall control the preparation and prosecution of all patent applications and the maintenance of all patents related to University Intellectual Property or Joint Intellectual Property. Sponsor shall reimburse University upon receipt of invoice for all documented expenses incurred in connection with the preparation, filing and prosecution of the patent applications and maintenance of patents that Sponsor has requested University to prosecute under Article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93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(“Reimbursable Expenses”).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31"/>
        </w:tabs>
        <w:spacing w:after="0" w:before="0" w:line="244"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preparation, prosecution, and maintenance of copyright, trademark and other intellectual property applications for the University Intellectual Property shall also be subject to the provisions of this Article 8.</w:t>
      </w:r>
    </w:p>
    <w:p w:rsidR="00000000" w:rsidDel="00000000" w:rsidP="00000000" w:rsidRDefault="00000000" w:rsidRPr="00000000" w14:paraId="0000006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31"/>
        </w:tabs>
        <w:spacing w:after="0" w:before="271" w:line="244"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rights and title to University Intellectual Property shall belong to University and shall be subject to the terms and conditions of this Agreement.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31"/>
        </w:tabs>
        <w:spacing w:after="0" w:before="0" w:line="244" w:lineRule="auto"/>
        <w:ind w:left="931" w:right="116"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Intellectual Property shall be jointly owned by the parties and shall be subject to the terms and conditions of this Agreement. Both University and Sponsor shall have the right to separately exploit Joint Intellectual Property, including licensing to third parties, anywhere in the world, without the consent and no obligation of accounting between the joint owners of Joint Intellectual Property.</w:t>
      </w:r>
    </w:p>
    <w:p w:rsidR="00000000" w:rsidDel="00000000" w:rsidP="00000000" w:rsidRDefault="00000000" w:rsidRPr="00000000" w14:paraId="0000006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31"/>
        </w:tabs>
        <w:spacing w:after="0" w:before="273" w:line="244"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rights and title to Sponsor Intellectual Property shall belong to Sponsor and shall not be subject to the terms and conditions of this Agreement.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firstLine="120"/>
        <w:rPr/>
      </w:pPr>
      <w:r w:rsidDel="00000000" w:rsidR="00000000" w:rsidRPr="00000000">
        <w:rPr>
          <w:rtl w:val="0"/>
        </w:rPr>
        <w:t xml:space="preserve">Article 9 – Option to License Intellectual Property</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931" w:right="114"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8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Sponsor’s funding of the Project and payment for intellectual property expenses as provided for in Article 8, University grants Sponsor a first option to negotiate to acquire a royalty-bearing license to practice University Intellectual Property. University and Sponsor will negotiate in good faith to determine the terms of a license agreement as to each item of University Intellectual Property for which Sponsor has agreed to make payment for Reimbursable Expenses as provided for in Article 8. If Sponsor and University fail to execute a license agreement within six (6) months after disclosure of the University Intellectual Property to Sponsor or if Sponsor fails to make payment for Reimbursable Expenses as provided for in Article 8, University shall be free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9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license the University Intellectual Property to any party upon such terms as University deems appropriate, without any further obligation to Sponsor.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931" w:right="117"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license granted to Sponsor pursuant to this Article shall be subject, if applicable, to the rights of the United States government reserved under Public Laws 96-517, 97-256 and 98-620, codified at 35 U.S.C. 200-212, and any regulations issued thereunder.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1"/>
        <w:ind w:firstLine="120"/>
        <w:rPr/>
      </w:pPr>
      <w:r w:rsidDel="00000000" w:rsidR="00000000" w:rsidRPr="00000000">
        <w:rPr>
          <w:rtl w:val="0"/>
        </w:rPr>
        <w:t xml:space="preserve">Article 10 – Agreement Term and Termination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become effective upon the Effective Date and shall continue in effect for the Agreement Term unless sooner terminated in accordance with the provisions of this Article. The parties hereto may, however, extend the Agreement Term for additional periods in accordance with Article 21. Either party may terminate this Agreement upon thirty (30) days’ prior written notice to the other party.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31"/>
        </w:tabs>
        <w:spacing w:after="0" w:before="0" w:line="242" w:lineRule="auto"/>
        <w:ind w:left="931" w:right="114"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either party hereto shall commit any breach of or default in any of the terms or conditions of this Agreement, and also shall fail to remedy such default or breach within twenty (20) days (except with respect to a default or breach relating to the insurance requirements of Article 12 hereof, for which the cure period shall be one (1) business day) after receipt of written notice thereof from the other party hereto, the party giving notice may, at its option and in addition to any other remedies that it may have at law or in equity, terminate this Agreement by sending notice of termination in writing to the other party to such effect, and such termination shall be effective as of the date of the receipt of such notice or other effective date set forth in the notice.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31"/>
        </w:tabs>
        <w:spacing w:after="0" w:before="0" w:line="242" w:lineRule="auto"/>
        <w:ind w:left="931" w:right="114"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termination of this Agreement prior to the completion of the Agreement Term, whether for breach or for any other reason whatsoever, University shall be entitled to retain from the payments made by Sponsor prior to termination, University’s reasonable costs of concluding work in progress on the Project. Allowable costs include, without limitation, all costs or noncancellable commitments incurred prior to the receipt, or issuance, by University of the notice of termination, and the full cost of each employee, student and faculty member supported under the Project through the end of such commitments. In the event of termination, University shall submit a final report of all costs incurred and all funds received under this Agreement within sixty (60) days after the effective termination date. The report shall be accompanied by a check in the amount of any excess of funds advanced over costs and allowable commitments incurred. In case of a deficit of funds, Sponsor shall pay University the amount needed to cover costs and allowable commitments incurred by University under this Agreement within thirty (30) days of receipt of such report.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31"/>
        </w:tabs>
        <w:spacing w:after="0" w:before="0" w:line="242"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6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Termination of this Agreement by either party for any reason shall not affect the rights and obligations of the parties accrued prior to the effective date of termination of this Agreement. Futhermore, no termination or expiration of this Agreement, however effectuated, shall release the parties hereto from their respective rights and obligations under Articles 3, 5, 6, 8, 9.2, 10, 11, 12, 13, 14, 15, 16, 19 and 21, which such Articles shall survive in their entirety any termination or expiration of this Agreement.</w:t>
      </w:r>
    </w:p>
    <w:p w:rsidR="00000000" w:rsidDel="00000000" w:rsidP="00000000" w:rsidRDefault="00000000" w:rsidRPr="00000000" w14:paraId="00000076">
      <w:pPr>
        <w:pStyle w:val="Heading1"/>
        <w:spacing w:before="75" w:lineRule="auto"/>
        <w:ind w:firstLine="120"/>
        <w:rPr/>
      </w:pPr>
      <w:r w:rsidDel="00000000" w:rsidR="00000000" w:rsidRPr="00000000">
        <w:rPr>
          <w:rtl w:val="0"/>
        </w:rPr>
        <w:t xml:space="preserve">Article 11 - Disclaimer of Warranties; Indemnification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931" w:right="115"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AND ALL RESULTS OF THE PROJECT, REPORTS, INTELLECTUAL PROPERTY OR OTHER MATERIALS PROVIDED BY UNIVERSITY UNDER THIS AGREEMENT ARE PROVIDED ON AN “AS IS” BASIS. UNIVERSITY MAKES NO WARRANTIES OF ANY KIND, EXPRESS OR IMPLIED, AS TO ANY MATTER WHATSOEVER, INCLUDING, WITHOUT LIMITATION, WARRANTIES WITH RESPECT TO THE MERCHANTABILITY OR FITNESS FOR A PARTICULAR PURPOSE OF THE PROJECT RESULTS, REPORTS, INTELLECTUAL PROPERTY OR ANY OTHER MATERIALS. UNIVERSITY MAKES NO WARRANTIES OF ANY KIND WITH RESPECT TO FREEDOM FROM PATENT, TRADEMARK, COPYRIGHT OR TRADE SECRET INFRINGEMENT INCLUDING ARISING FROM THE USE OF THE PROJECT RESULTS, REPORTS, INTELLECTUAL PROPERTY OR OTHER MATERIALS PROVIDED HEREUNDER. UNIVERSITY SHALL NOT BE LIABLE FOR ANY INDIRECT, CONSEQUENTIAL, PUNITIVE OR OTHER DAMAGES SUFFERED BY SPONSOR OR ANY OTHER PARTY RESULTING FROM THE PROJECT OR THE USE OF ANY PROJECT RESULTS, REPORTS, INTELLECTUAL PROPERTY OR OTHER MATERIALS REGARDLESS OF (A) WHETHER SUCH DAMAGES WERE FORESEEABLE, (B) WHETHER OR NOT UNIVERSITY WAS ADVISED OF THE POSSIBILITY OF SUCH DAMAGES AND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LEGAL OR EQUITABLE THEORY (CONTRACT, TORT, OR OTHERWISE) UPON WHICH THE CLAIM IS BASED. IN NO EVENT SHALL UNIVERSITY’S AGGREGATE LIABILITY ARISING OUT OF OR RELATED TO THIS AGREEMENT, WHETHER ARISING OUT OF OR RELATED TO BREACH OF CONTRACT, TORT (INCLUDING NEGLIGENCE), OR OTHERWISE, EXCEED THE TOTAL OF THE AMOUNTS PAID TO UNIVERSITY BY SPONSOR PURSUANT TO THIS AGREEMENT IN THE TWELVE MONTH PERIOD PRECEDING THE EVENT GIVING RISE TO THE CLAIM.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31"/>
        </w:tabs>
        <w:spacing w:after="0" w:before="1" w:line="240" w:lineRule="auto"/>
        <w:ind w:left="931" w:right="114" w:hanging="81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64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to the extent caused by the sole negligence of any of the Indemnified Persons (as hereinafter defined), Sponsor shall defend, indemnify and hold harmless University, its trustees, officers, faculty, students, employees, subsidiaries, affiliates and agents (hereinafter referred to collectively as the "Indemnified Persons") from and against any and all liability, claims, causes of action, lawsuits, losses, damages, costs or expenses (including without limitation reasonable attorneys' fees), which the Indemnified Persons may hereafter incur or be required to pay as a result of: (a) Sponsor's use or commercialization of the results of the Project or any University Intellectual Property, Joint Intellectual Property, or Sponsor Intellectual Property; or (b) any breach of this Agreement; or (c) any negligent act or omission or willful misconduct of Sponsor, its employees, subsidiaries, affiliates, contractors, licensees or agents. University shall notify Sponsor upon learning of the institution or threatened institution of any such liability, claims, lawsuits, losses, damages, costs and expenses and University shall cooperate with Sponsor as reasonable in the defense or settlement thereof at Sponsor’s request and expense; provided that University’s failure to so notify Sponsor shall not relieve Sponsor of its indemnity and defense obligations unless such failure materially prejudices such</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9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defense.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ind w:firstLine="120"/>
        <w:rPr/>
      </w:pPr>
      <w:r w:rsidDel="00000000" w:rsidR="00000000" w:rsidRPr="00000000">
        <w:rPr>
          <w:rtl w:val="0"/>
        </w:rPr>
        <w:t xml:space="preserve">Article 12 - Insurance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 w:val="left" w:leader="none" w:pos="900"/>
        </w:tabs>
        <w:spacing w:after="0" w:before="1" w:line="244" w:lineRule="auto"/>
        <w:ind w:left="900" w:right="247" w:hanging="7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shall carry the following insurance coverage with companies licensed to do insurance business in the Commonwealth of Pennsylvania and acceptable to University:</w:t>
      </w:r>
    </w:p>
    <w:p w:rsidR="00000000" w:rsidDel="00000000" w:rsidP="00000000" w:rsidRDefault="00000000" w:rsidRPr="00000000" w14:paraId="0000008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259" w:line="242" w:lineRule="auto"/>
        <w:ind w:left="120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Commercial General Liability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Contractual Liability and Completed Operations/Products Liability coverage, at the minimum limit of $1,000,000 per project/ per occurrence [depending on degree of risk, other limits may apply];</w:t>
      </w:r>
    </w:p>
    <w:p w:rsidR="00000000" w:rsidDel="00000000" w:rsidP="00000000" w:rsidRDefault="00000000" w:rsidRPr="00000000" w14:paraId="0000008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99"/>
        </w:tabs>
        <w:spacing w:after="0" w:before="0" w:line="273" w:lineRule="auto"/>
        <w:ind w:left="1199"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Automobile Liability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$1,000,000 each accident;</w:t>
      </w:r>
    </w:p>
    <w:p w:rsidR="00000000" w:rsidDel="00000000" w:rsidP="00000000" w:rsidRDefault="00000000" w:rsidRPr="00000000" w14:paraId="0000008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0" w:line="242" w:lineRule="auto"/>
        <w:ind w:left="1200" w:right="1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Workers' Compensation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statutory limits and Employer's Liability coverage at a minimum limit of $1,000,000.</w:t>
      </w:r>
    </w:p>
    <w:p w:rsidR="00000000" w:rsidDel="00000000" w:rsidP="00000000" w:rsidRDefault="00000000" w:rsidRPr="00000000" w14:paraId="0000008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0" w:line="278.00000000000006" w:lineRule="auto"/>
        <w:ind w:left="12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Professional Liability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 work under this Agreement involves professional</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excluded from the SPONSOR’S Commercial General Liability Insurance and/or it is standard practice in SPONSOR’S profession to do so (e.g., Architectural, Engineering, Medical, Internet/Information Technology, etc.), SPONSOR shall carry Professional Liability Insurance and/or Technology Errors and Omissions Insurance to protect the University from any liability arising out of the professional obligations performed pursuant to the requirement of the Agreement. SPONSOR shall evidence Professional Liability Insurance and/or Technology Errors and Omissions Insurance with a limit of not less than $1,000,000 per occurrence and $3,000,000 aggregate (retroactive date prior to work; extended reporting period of 36 months).</w:t>
      </w:r>
    </w:p>
    <w:p w:rsidR="00000000" w:rsidDel="00000000" w:rsidP="00000000" w:rsidRDefault="00000000" w:rsidRPr="00000000" w14:paraId="0000008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0" w:line="242" w:lineRule="auto"/>
        <w:ind w:left="1200" w:right="11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Pollution Liability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University may require this coverage whenever work under this Agreement involves pollution risk to the environment. This coverage is to include sudden and gradual coverage for third-party liability including defense costs and completed operations.</w:t>
      </w:r>
    </w:p>
    <w:p w:rsidR="00000000" w:rsidDel="00000000" w:rsidP="00000000" w:rsidRDefault="00000000" w:rsidRPr="00000000" w14:paraId="00000087">
      <w:pPr>
        <w:pStyle w:val="Heading1"/>
        <w:spacing w:before="275" w:line="244" w:lineRule="auto"/>
        <w:ind w:left="840" w:right="119" w:firstLine="0"/>
        <w:jc w:val="both"/>
        <w:rPr/>
      </w:pPr>
      <w:r w:rsidDel="00000000" w:rsidR="00000000" w:rsidRPr="00000000">
        <w:rPr>
          <w:rtl w:val="0"/>
        </w:rPr>
        <w:t xml:space="preserve">All policies of insurance described above shall be on a primary basis non-contributory with any other insurance coverages and/or self-insurance carried by the University.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84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nature and/or scope of the Project justify it, University may require Sponsor to provide evidence of higher coverage limits. The procuring of insurance required under this Article shall not relieve Sponsor of any obligation or liability assumed under this Agreement nor of any obligation or liability imposed by operation of law.</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2" w:lineRule="auto"/>
        <w:ind w:left="840" w:right="115"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University’s commencement of the Project pursuant to this Agreement, Sponsor shall furnish University with proof of insurance, satisfactory to University in its sole discretion, evidenced by duly authenticated certificates of insurance, delivered to University, which certificates shall show the insurance type, amount, class of operations covered, effective dates, and dates of expiration of policies.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Such certificates shall evidence that University has been named as an Additional Insured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all such policies except Workers’ Compensation and Professional Liability and shall also contain the following statement or its substantial equivalent: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6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insurance covered by this certificate will not be canceled or materially altered,</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after thirty (30) days written notice has been received by Lehigh University."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90">
      <w:pPr>
        <w:pStyle w:val="Heading1"/>
        <w:spacing w:before="1" w:lineRule="auto"/>
        <w:ind w:left="119" w:firstLine="0"/>
        <w:jc w:val="both"/>
        <w:rPr/>
      </w:pPr>
      <w:r w:rsidDel="00000000" w:rsidR="00000000" w:rsidRPr="00000000">
        <w:rPr>
          <w:rtl w:val="0"/>
        </w:rPr>
        <w:t xml:space="preserve">Article 13 – Independent Contractor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9"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conduct of the Project hereunder, University shall be deemed to be and shall be an independent contractor. Neither party is authorized or empowered to act as agent for the other for any purpose and shall not on behalf of the other enter into any contract, warranty or representation as to any matter. Neither party shall be bound by the acts or conduct of the other.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1"/>
        <w:ind w:left="119" w:firstLine="0"/>
        <w:jc w:val="both"/>
        <w:rPr/>
      </w:pPr>
      <w:r w:rsidDel="00000000" w:rsidR="00000000" w:rsidRPr="00000000">
        <w:rPr>
          <w:rtl w:val="0"/>
        </w:rPr>
        <w:t xml:space="preserve">Article 14 – Compliance with Laws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shall comply with all laws, regulations and other legal requirements applicable to Sponsor in connection with this Agreement, including but not limited to any legal requirements applicable to Sponsor’s use of the results of the Project or any University Intellectual Property.</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acknowledges and agrees that, as an institution of higher education, University has many employees, students and visitors who are foreign nationals, and typically performs fundamental research that is exempt from export controls regulations (as defined below). The parties do not anticipate the need to disclose to each other technical data, computer software, laboratory prototypes, documentation, equipment and/or other commodities that are subject to control (other than to the extent designated as EAR99) (“controlled technology”) under applicable export control laws and regulations including without limitation, those established by the Department of Commerce through its Export Administration Regulations ("EAR"), the Department of State through its International Traffic in Arms Regulations ("ITAR"), and the Department of Treasury through its Office of Foreign Assets Control regulations ("OFAC") (collectively, “export controls regulations”). In the event a party believes it is necessary to disclose controlled technology that are regulated under export controls regulations, the disclosing party will inform the receiving party, in writing, prior to disclosing any such controlled technology, of its intention to disclose to the receiving party controlled technology and provide sufficient information (e.g., ECCNs, USML categories/articles) to allow the receiving party to comply with any applicable export controls. The disclosing party shall not disclose any controlled technology to the receiving party unless the receiving party agrees in writing to accept such controlled technology, which agreement may be conditioned upon the execution of a contract and the making of other specific arrangements with respect thereto. The parties acknowledge that they are subject to and agree to comply with export controls regulations and shall not export, re-export, release, disclose, or transfer any such controlled technology in connection with this Agreement directly or indirectly without complying with the export control regulations (including by obtaining a license or other approval from the United States government where required) and any other applicable laws and regulations.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8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represents and warrants that, as of the Effective Date and continuously throughout the Agreement Term, (i) neither it, nor any of its affiliates, nor any of their respective agents, employees, officers, directors or managers is listed in any list of designated or restricted persons or entities maintained by sanction authorities or with whom a U.S. entity is otherwise restricted from doing business under any regulation, statute, or executive order or similar legal requirement imposed those authorities; (ii) it is not operating, organized, or residing in a country or region or territory which is itself the subject or target of any sanctions applicable to the agreement’s scope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2" w:lineRule="auto"/>
        <w:ind w:left="119" w:right="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work, and (iii) it is not owned or controlled by any person or entity described in subsection (i) or (ii) above.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party shall promptly notify the other party in writing when any of the foregoing representations and warranties ceases to be true.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limiting the generality of this Article 14, Sponsor shall, and shall cause its affiliates, and their respective agents, employees, officers, directors or managers to, comply with the Foreign Corrupt Practices Act of 1977, as amended ("FCPA"), including maintaining and complying with all policies and procedures to ensure compliance with the FCPA. Neither Sponsor nor any of its affiliates, nor any of their respective agents, employees, officers, directors or managers, in connection with this Agreement, shall (a) use any corporate funds for any unlawful contribution, gift, entertainment, or other unlawful expense relating to political activity or to influence official action; (b) make any direct or indirect unlawful payment to any foreign or domestic government official or employee from corporate funds; (c) make any bribe, rebate, payoff, influence payment, kickback, or other unlawful payment; or (d) fail to disclose fully any contribution or payment made by Sponsor (or made by any individual or entity acting on its behalf of which Sponsor is aware) that violates the FCPA.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1"/>
        <w:ind w:firstLine="120"/>
        <w:rPr/>
      </w:pPr>
      <w:r w:rsidDel="00000000" w:rsidR="00000000" w:rsidRPr="00000000">
        <w:rPr>
          <w:rtl w:val="0"/>
        </w:rPr>
        <w:t xml:space="preserve">Article 15 - Governing Law</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governed by and construed in accordance with the laws of the Commonwealth of Pennsylvania, without regard to the conflicts of laws doctrine of such state. The parties hereby submit to the exclusive jurisdiction of the federal and state courts located in Northampton County, Pennsylvania with respect to any and all disputes concerning the subject of this Agreement.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spacing w:before="1" w:lineRule="auto"/>
        <w:ind w:firstLine="120"/>
        <w:rPr/>
      </w:pPr>
      <w:r w:rsidDel="00000000" w:rsidR="00000000" w:rsidRPr="00000000">
        <w:rPr>
          <w:rtl w:val="0"/>
        </w:rPr>
        <w:t xml:space="preserve">Article 16 - Arbitration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any conflict or claim arising out of or relating to any provision of this Agreement or breach thereof, the parties shall make a good faith effort to settle such conflict amicably between themselves. Any such conflict that the parties are unable to resolve shall be settled in accordance with the rules of the American Arbitration Association; provided that any issues pertaining to patent validity shall be determined in a court of competent jurisdiction. The award or decision shall be rendered by a majority of an arbitration panel consisting of three members, one of whom shall be appointed by University, one of whom shall be appointed by Sponsor and the third of whom shall be the chairperson of the panel and appointed by mutual agreement of said two party- appointed arbitrators. Such arbitration proceedings shall be conducted in Bethlehem, Pennsylvania. The award or decision through arbitration shall be binding upon the parties and may be incorporated into and thereupon enforced as an order of a court of competent jurisdiction.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1"/>
        <w:ind w:firstLine="120"/>
        <w:rPr/>
      </w:pPr>
      <w:r w:rsidDel="00000000" w:rsidR="00000000" w:rsidRPr="00000000">
        <w:rPr>
          <w:rtl w:val="0"/>
        </w:rPr>
        <w:t xml:space="preserve">Article 17 – Notices, Invoices, and Payments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38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Notices, invoices, communications and payments hereunder shall be deemed made if given in writing and addressed to the party to receive such notice, invoice, communication or payment at the address given below, or such other address as may hereafter be designated by notice in writing:</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9"/>
          <w:tab w:val="left" w:leader="none" w:pos="6239"/>
        </w:tabs>
        <w:spacing w:after="0" w:before="6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to Sponsor:</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2362200</wp:posOffset>
                </wp:positionH>
                <wp:positionV relativeFrom="paragraph">
                  <wp:posOffset>165100</wp:posOffset>
                </wp:positionV>
                <wp:extent cx="1270" cy="12700"/>
                <wp:effectExtent b="0" l="0" r="0" t="0"/>
                <wp:wrapTopAndBottom distB="0" distT="0"/>
                <wp:docPr id="5" name=""/>
                <a:graphic>
                  <a:graphicData uri="http://schemas.microsoft.com/office/word/2010/wordprocessingShape">
                    <wps:wsp>
                      <wps:cNvSpPr/>
                      <wps:cNvPr id="3" name="Shape 3"/>
                      <wps:spPr>
                        <a:xfrm>
                          <a:off x="4545900" y="3779365"/>
                          <a:ext cx="1600200" cy="1270"/>
                        </a:xfrm>
                        <a:custGeom>
                          <a:rect b="b" l="l" r="r" t="t"/>
                          <a:pathLst>
                            <a:path extrusionOk="0" h="120000" w="1600200">
                              <a:moveTo>
                                <a:pt x="0" y="0"/>
                              </a:moveTo>
                              <a:lnTo>
                                <a:pt x="16002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2362200</wp:posOffset>
                </wp:positionH>
                <wp:positionV relativeFrom="paragraph">
                  <wp:posOffset>165100</wp:posOffset>
                </wp:positionV>
                <wp:extent cx="127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2362200</wp:posOffset>
                </wp:positionH>
                <wp:positionV relativeFrom="paragraph">
                  <wp:posOffset>330200</wp:posOffset>
                </wp:positionV>
                <wp:extent cx="1270" cy="12700"/>
                <wp:effectExtent b="0" l="0" r="0" t="0"/>
                <wp:wrapTopAndBottom distB="0" distT="0"/>
                <wp:docPr id="4" name=""/>
                <a:graphic>
                  <a:graphicData uri="http://schemas.microsoft.com/office/word/2010/wordprocessingShape">
                    <wps:wsp>
                      <wps:cNvSpPr/>
                      <wps:cNvPr id="2" name="Shape 2"/>
                      <wps:spPr>
                        <a:xfrm>
                          <a:off x="4545900" y="3779365"/>
                          <a:ext cx="1600200" cy="1270"/>
                        </a:xfrm>
                        <a:custGeom>
                          <a:rect b="b" l="l" r="r" t="t"/>
                          <a:pathLst>
                            <a:path extrusionOk="0" h="120000" w="1600200">
                              <a:moveTo>
                                <a:pt x="0" y="0"/>
                              </a:moveTo>
                              <a:lnTo>
                                <a:pt x="16002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2362200</wp:posOffset>
                </wp:positionH>
                <wp:positionV relativeFrom="paragraph">
                  <wp:posOffset>330200</wp:posOffset>
                </wp:positionV>
                <wp:extent cx="1270" cy="12700"/>
                <wp:effectExtent b="0" l="0" r="0" t="0"/>
                <wp:wrapTopAndBottom distB="0" distT="0"/>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9"/>
        </w:tabs>
        <w:spacing w:after="0" w:before="0" w:line="240" w:lineRule="auto"/>
        <w:ind w:left="3720" w:right="1608" w:hanging="36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to University:</w:t>
        <w:tab/>
        <w:t xml:space="preserve">Office of Research and Sponsored Programs Att’n: Director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0" w:right="3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Lehigh University 526 Brodhead Avenue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Bethlehem, PA 18015</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copy to: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0" w:right="24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of the General Counsel Lehigh University</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0" w:right="24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Memorial Drive West Bethlehem, PA 18015</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B8">
      <w:pPr>
        <w:pStyle w:val="Heading1"/>
        <w:ind w:firstLine="120"/>
        <w:rPr/>
      </w:pPr>
      <w:r w:rsidDel="00000000" w:rsidR="00000000" w:rsidRPr="00000000">
        <w:rPr>
          <w:rtl w:val="0"/>
        </w:rPr>
        <w:t xml:space="preserve">Article 18 - Force Majeure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either party is unable, wholly or in part, to carry out its obligations under this Agreement by reason of acts of God or public enemy, wars, insurrections, civil disturbances, pandemics or epidemics, labor disputes, failure of government approval, government order or shutdown, accidents, failure of utilities, material shortages, fires, storms, floods and any other causes, whether of the kind enumerated herein or otherwise, not within the control of the party unable to perform, then the obligations of this Agreement shall be suspended during the reasonable continuance of any inability so caused.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1"/>
        <w:ind w:firstLine="120"/>
        <w:rPr/>
      </w:pPr>
      <w:r w:rsidDel="00000000" w:rsidR="00000000" w:rsidRPr="00000000">
        <w:rPr>
          <w:rtl w:val="0"/>
        </w:rPr>
        <w:t xml:space="preserve">Article 19 – Non-Discrimination</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performance of this Agreement, University and Sponsor shall not discriminate against any person or group based on age, color, disability, gender identity or expression, genetic information, marital or familial status, national or ethnic origin, race, religion, sex, sexual orientation, or veteran status.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ind w:firstLine="120"/>
        <w:rPr/>
      </w:pPr>
      <w:r w:rsidDel="00000000" w:rsidR="00000000" w:rsidRPr="00000000">
        <w:rPr>
          <w:rtl w:val="0"/>
        </w:rPr>
        <w:t xml:space="preserve">Article 20 - Assignment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not be assigned by either party without the prior written consent of the other party hereto. This Agreement shall be binding upon and inure to the benefit of the respective successors and permitted assigns of the parties.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1"/>
        <w:ind w:firstLine="120"/>
        <w:jc w:val="both"/>
        <w:rPr/>
      </w:pPr>
      <w:r w:rsidDel="00000000" w:rsidR="00000000" w:rsidRPr="00000000">
        <w:rPr>
          <w:rtl w:val="0"/>
        </w:rPr>
        <w:t xml:space="preserve">Article 21 - Agreement Modification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agreement to change the terms of this Agreement in any way shall be valid only if the change is made in writing and signed by a duly authorized representative of each party hereto.</w:t>
      </w:r>
    </w:p>
    <w:p w:rsidR="00000000" w:rsidDel="00000000" w:rsidP="00000000" w:rsidRDefault="00000000" w:rsidRPr="00000000" w14:paraId="000000C7">
      <w:pPr>
        <w:pStyle w:val="Heading1"/>
        <w:spacing w:before="275" w:lineRule="auto"/>
        <w:ind w:firstLine="120"/>
        <w:jc w:val="both"/>
        <w:rPr/>
        <w:sectPr>
          <w:type w:val="nextPage"/>
          <w:pgSz w:h="15840" w:w="12240" w:orient="portrait"/>
          <w:pgMar w:bottom="1020" w:top="1660" w:left="1320" w:right="1320" w:header="0" w:footer="834"/>
        </w:sectPr>
      </w:pPr>
      <w:r w:rsidDel="00000000" w:rsidR="00000000" w:rsidRPr="00000000">
        <w:rPr>
          <w:rtl w:val="0"/>
        </w:rPr>
        <w:t xml:space="preserve">Article 22 - Entire Agreement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constitutes and expresses the entire agreement of the parties hereto with reference to the subject matter hereof, with all prior promises, undertakings, representations, agreements, understandings and arrangements relative thereto having been herein merged into this Agreement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have caused this Agreement to be executed, each by its duly authorized representative, to be effective as of the Effective Date defined herein.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1"/>
        <w:tabs>
          <w:tab w:val="left" w:leader="none" w:pos="5159"/>
        </w:tabs>
        <w:ind w:firstLine="120"/>
        <w:jc w:val="both"/>
        <w:rPr/>
      </w:pPr>
      <w:r w:rsidDel="00000000" w:rsidR="00000000" w:rsidRPr="00000000">
        <w:rPr>
          <w:rtl w:val="0"/>
        </w:rPr>
        <w:t xml:space="preserve">SPONSOR:</w:t>
        <w:tab/>
        <w:t xml:space="preserve">LEHIGH UNIVERSITY: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27"/>
          <w:tab w:val="left" w:leader="none" w:pos="5159"/>
          <w:tab w:val="left" w:leader="none" w:pos="9407"/>
        </w:tabs>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0"/>
          <w:tab w:val="left" w:leader="none" w:pos="5159"/>
          <w:tab w:val="left" w:leader="none" w:pos="9340"/>
        </w:tabs>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Title: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0"/>
          <w:tab w:val="left" w:leader="none" w:pos="5159"/>
          <w:tab w:val="left" w:leader="none" w:pos="9460"/>
        </w:tabs>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20" w:top="1640" w:left="1320" w:right="1320" w:header="0" w:footer="83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3"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Sponsored Research Agreement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DESCRIPTION</w:t>
      </w:r>
    </w:p>
    <w:p w:rsidR="00000000" w:rsidDel="00000000" w:rsidP="00000000" w:rsidRDefault="00000000" w:rsidRPr="00000000" w14:paraId="000000DF">
      <w:pPr>
        <w:spacing w:before="0" w:lineRule="auto"/>
        <w:ind w:left="3" w:right="3" w:firstLine="0"/>
        <w:jc w:val="center"/>
        <w:rPr>
          <w:sz w:val="24"/>
          <w:szCs w:val="24"/>
        </w:rPr>
      </w:pPr>
      <w:r w:rsidDel="00000000" w:rsidR="00000000" w:rsidRPr="00000000">
        <w:rPr>
          <w:sz w:val="24"/>
          <w:szCs w:val="24"/>
          <w:rtl w:val="0"/>
        </w:rPr>
        <w:t xml:space="preserve">&amp;</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INFORMATION ON CONDUCT OF PROJECT</w:t>
      </w:r>
    </w:p>
    <w:sectPr>
      <w:type w:val="nextPage"/>
      <w:pgSz w:h="15840" w:w="12240" w:orient="portrait"/>
      <w:pgMar w:bottom="1020" w:top="1360" w:left="1320" w:right="1320" w:header="0" w:footer="8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9372600</wp:posOffset>
              </wp:positionV>
              <wp:extent cx="1249045" cy="148590"/>
              <wp:effectExtent b="0" l="0" r="0" t="0"/>
              <wp:wrapNone/>
              <wp:docPr id="6" name=""/>
              <a:graphic>
                <a:graphicData uri="http://schemas.microsoft.com/office/word/2010/wordprocessingShape">
                  <wps:wsp>
                    <wps:cNvSpPr/>
                    <wps:cNvPr id="4" name="Shape 4"/>
                    <wps:spPr>
                      <a:xfrm>
                        <a:off x="4726240" y="3710468"/>
                        <a:ext cx="1239520" cy="139065"/>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ORSP/OGC revised 11-29-22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9372600</wp:posOffset>
              </wp:positionV>
              <wp:extent cx="1249045" cy="14859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49045" cy="1485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2"/>
      <w:numFmt w:val="decimal"/>
      <w:lvlText w:val="%1"/>
      <w:lvlJc w:val="left"/>
      <w:pPr>
        <w:ind w:left="900" w:hanging="720"/>
      </w:pPr>
      <w:rPr/>
    </w:lvl>
    <w:lvl w:ilvl="1">
      <w:start w:val="1"/>
      <w:numFmt w:val="decimal"/>
      <w:lvlText w:val="%1.%2"/>
      <w:lvlJc w:val="left"/>
      <w:pPr>
        <w:ind w:left="900" w:hanging="720"/>
      </w:pPr>
      <w:rPr>
        <w:rFonts w:ascii="Times New Roman" w:cs="Times New Roman" w:eastAsia="Times New Roman" w:hAnsi="Times New Roman"/>
        <w:b w:val="0"/>
        <w:i w:val="0"/>
        <w:sz w:val="24"/>
        <w:szCs w:val="24"/>
      </w:rPr>
    </w:lvl>
    <w:lvl w:ilvl="2">
      <w:start w:val="0"/>
      <w:numFmt w:val="bullet"/>
      <w:lvlText w:val="●"/>
      <w:lvlJc w:val="left"/>
      <w:pPr>
        <w:ind w:left="1200" w:hanging="360"/>
      </w:pPr>
      <w:rPr>
        <w:rFonts w:ascii="Noto Sans Symbols" w:cs="Noto Sans Symbols" w:eastAsia="Noto Sans Symbols" w:hAnsi="Noto Sans Symbols"/>
        <w:b w:val="0"/>
        <w:i w:val="0"/>
        <w:sz w:val="24"/>
        <w:szCs w:val="24"/>
      </w:rPr>
    </w:lvl>
    <w:lvl w:ilvl="3">
      <w:start w:val="0"/>
      <w:numFmt w:val="bullet"/>
      <w:lvlText w:val="•"/>
      <w:lvlJc w:val="left"/>
      <w:pPr>
        <w:ind w:left="3066" w:hanging="360"/>
      </w:pPr>
      <w:rPr/>
    </w:lvl>
    <w:lvl w:ilvl="4">
      <w:start w:val="0"/>
      <w:numFmt w:val="bullet"/>
      <w:lvlText w:val="•"/>
      <w:lvlJc w:val="left"/>
      <w:pPr>
        <w:ind w:left="4000" w:hanging="360"/>
      </w:pPr>
      <w:rPr/>
    </w:lvl>
    <w:lvl w:ilvl="5">
      <w:start w:val="0"/>
      <w:numFmt w:val="bullet"/>
      <w:lvlText w:val="•"/>
      <w:lvlJc w:val="left"/>
      <w:pPr>
        <w:ind w:left="4933" w:hanging="360"/>
      </w:pPr>
      <w:rPr/>
    </w:lvl>
    <w:lvl w:ilvl="6">
      <w:start w:val="0"/>
      <w:numFmt w:val="bullet"/>
      <w:lvlText w:val="•"/>
      <w:lvlJc w:val="left"/>
      <w:pPr>
        <w:ind w:left="5866" w:hanging="360"/>
      </w:pPr>
      <w:rPr/>
    </w:lvl>
    <w:lvl w:ilvl="7">
      <w:start w:val="0"/>
      <w:numFmt w:val="bullet"/>
      <w:lvlText w:val="•"/>
      <w:lvlJc w:val="left"/>
      <w:pPr>
        <w:ind w:left="6800" w:hanging="360"/>
      </w:pPr>
      <w:rPr/>
    </w:lvl>
    <w:lvl w:ilvl="8">
      <w:start w:val="0"/>
      <w:numFmt w:val="bullet"/>
      <w:lvlText w:val="•"/>
      <w:lvlJc w:val="left"/>
      <w:pPr>
        <w:ind w:left="7733" w:hanging="360"/>
      </w:pPr>
      <w:rPr/>
    </w:lvl>
  </w:abstractNum>
  <w:abstractNum w:abstractNumId="2">
    <w:lvl w:ilvl="0">
      <w:start w:val="1"/>
      <w:numFmt w:val="decimal"/>
      <w:lvlText w:val="%1"/>
      <w:lvlJc w:val="left"/>
      <w:pPr>
        <w:ind w:left="984" w:hanging="864"/>
      </w:pPr>
      <w:rPr/>
    </w:lvl>
    <w:lvl w:ilvl="1">
      <w:start w:val="1"/>
      <w:numFmt w:val="decimal"/>
      <w:lvlText w:val="%1.%2"/>
      <w:lvlJc w:val="left"/>
      <w:pPr>
        <w:ind w:left="984" w:hanging="864"/>
      </w:pPr>
      <w:rPr>
        <w:rFonts w:ascii="Times New Roman" w:cs="Times New Roman" w:eastAsia="Times New Roman" w:hAnsi="Times New Roman"/>
        <w:b w:val="0"/>
        <w:i w:val="0"/>
        <w:sz w:val="24"/>
        <w:szCs w:val="24"/>
      </w:rPr>
    </w:lvl>
    <w:lvl w:ilvl="2">
      <w:start w:val="0"/>
      <w:numFmt w:val="bullet"/>
      <w:lvlText w:val="•"/>
      <w:lvlJc w:val="left"/>
      <w:pPr>
        <w:ind w:left="2704" w:hanging="864.0000000000002"/>
      </w:pPr>
      <w:rPr/>
    </w:lvl>
    <w:lvl w:ilvl="3">
      <w:start w:val="0"/>
      <w:numFmt w:val="bullet"/>
      <w:lvlText w:val="•"/>
      <w:lvlJc w:val="left"/>
      <w:pPr>
        <w:ind w:left="3566" w:hanging="863.9999999999995"/>
      </w:pPr>
      <w:rPr/>
    </w:lvl>
    <w:lvl w:ilvl="4">
      <w:start w:val="0"/>
      <w:numFmt w:val="bullet"/>
      <w:lvlText w:val="•"/>
      <w:lvlJc w:val="left"/>
      <w:pPr>
        <w:ind w:left="4428" w:hanging="864"/>
      </w:pPr>
      <w:rPr/>
    </w:lvl>
    <w:lvl w:ilvl="5">
      <w:start w:val="0"/>
      <w:numFmt w:val="bullet"/>
      <w:lvlText w:val="•"/>
      <w:lvlJc w:val="left"/>
      <w:pPr>
        <w:ind w:left="5290" w:hanging="864"/>
      </w:pPr>
      <w:rPr/>
    </w:lvl>
    <w:lvl w:ilvl="6">
      <w:start w:val="0"/>
      <w:numFmt w:val="bullet"/>
      <w:lvlText w:val="•"/>
      <w:lvlJc w:val="left"/>
      <w:pPr>
        <w:ind w:left="6152" w:hanging="863.9999999999991"/>
      </w:pPr>
      <w:rPr/>
    </w:lvl>
    <w:lvl w:ilvl="7">
      <w:start w:val="0"/>
      <w:numFmt w:val="bullet"/>
      <w:lvlText w:val="•"/>
      <w:lvlJc w:val="left"/>
      <w:pPr>
        <w:ind w:left="7014" w:hanging="864"/>
      </w:pPr>
      <w:rPr/>
    </w:lvl>
    <w:lvl w:ilvl="8">
      <w:start w:val="0"/>
      <w:numFmt w:val="bullet"/>
      <w:lvlText w:val="•"/>
      <w:lvlJc w:val="left"/>
      <w:pPr>
        <w:ind w:left="7876" w:hanging="864"/>
      </w:pPr>
      <w:rPr/>
    </w:lvl>
  </w:abstractNum>
  <w:abstractNum w:abstractNumId="3">
    <w:lvl w:ilvl="0">
      <w:start w:val="11"/>
      <w:numFmt w:val="decimal"/>
      <w:lvlText w:val="%1"/>
      <w:lvlJc w:val="left"/>
      <w:pPr>
        <w:ind w:left="931" w:hanging="812.0000000000001"/>
      </w:pPr>
      <w:rPr/>
    </w:lvl>
    <w:lvl w:ilvl="1">
      <w:start w:val="1"/>
      <w:numFmt w:val="decimal"/>
      <w:lvlText w:val="%1.%2"/>
      <w:lvlJc w:val="left"/>
      <w:pPr>
        <w:ind w:left="931" w:hanging="812.0000000000001"/>
      </w:pPr>
      <w:rPr>
        <w:rFonts w:ascii="Times New Roman" w:cs="Times New Roman" w:eastAsia="Times New Roman" w:hAnsi="Times New Roman"/>
        <w:b w:val="0"/>
        <w:i w:val="0"/>
        <w:sz w:val="24"/>
        <w:szCs w:val="24"/>
      </w:rPr>
    </w:lvl>
    <w:lvl w:ilvl="2">
      <w:start w:val="0"/>
      <w:numFmt w:val="bullet"/>
      <w:lvlText w:val="•"/>
      <w:lvlJc w:val="left"/>
      <w:pPr>
        <w:ind w:left="2672" w:hanging="812"/>
      </w:pPr>
      <w:rPr/>
    </w:lvl>
    <w:lvl w:ilvl="3">
      <w:start w:val="0"/>
      <w:numFmt w:val="bullet"/>
      <w:lvlText w:val="•"/>
      <w:lvlJc w:val="left"/>
      <w:pPr>
        <w:ind w:left="3538" w:hanging="812"/>
      </w:pPr>
      <w:rPr/>
    </w:lvl>
    <w:lvl w:ilvl="4">
      <w:start w:val="0"/>
      <w:numFmt w:val="bullet"/>
      <w:lvlText w:val="•"/>
      <w:lvlJc w:val="left"/>
      <w:pPr>
        <w:ind w:left="4404" w:hanging="812"/>
      </w:pPr>
      <w:rPr/>
    </w:lvl>
    <w:lvl w:ilvl="5">
      <w:start w:val="0"/>
      <w:numFmt w:val="bullet"/>
      <w:lvlText w:val="•"/>
      <w:lvlJc w:val="left"/>
      <w:pPr>
        <w:ind w:left="5270" w:hanging="812"/>
      </w:pPr>
      <w:rPr/>
    </w:lvl>
    <w:lvl w:ilvl="6">
      <w:start w:val="0"/>
      <w:numFmt w:val="bullet"/>
      <w:lvlText w:val="•"/>
      <w:lvlJc w:val="left"/>
      <w:pPr>
        <w:ind w:left="6136" w:hanging="812"/>
      </w:pPr>
      <w:rPr/>
    </w:lvl>
    <w:lvl w:ilvl="7">
      <w:start w:val="0"/>
      <w:numFmt w:val="bullet"/>
      <w:lvlText w:val="•"/>
      <w:lvlJc w:val="left"/>
      <w:pPr>
        <w:ind w:left="7002" w:hanging="812"/>
      </w:pPr>
      <w:rPr/>
    </w:lvl>
    <w:lvl w:ilvl="8">
      <w:start w:val="0"/>
      <w:numFmt w:val="bullet"/>
      <w:lvlText w:val="•"/>
      <w:lvlJc w:val="left"/>
      <w:pPr>
        <w:ind w:left="7868" w:hanging="812.0000000000009"/>
      </w:pPr>
      <w:rPr/>
    </w:lvl>
  </w:abstractNum>
  <w:abstractNum w:abstractNumId="4">
    <w:lvl w:ilvl="0">
      <w:start w:val="10"/>
      <w:numFmt w:val="decimal"/>
      <w:lvlText w:val="%1"/>
      <w:lvlJc w:val="left"/>
      <w:pPr>
        <w:ind w:left="931" w:hanging="812.0000000000001"/>
      </w:pPr>
      <w:rPr/>
    </w:lvl>
    <w:lvl w:ilvl="1">
      <w:start w:val="1"/>
      <w:numFmt w:val="decimal"/>
      <w:lvlText w:val="%1.%2"/>
      <w:lvlJc w:val="left"/>
      <w:pPr>
        <w:ind w:left="931" w:hanging="812.0000000000001"/>
      </w:pPr>
      <w:rPr>
        <w:rFonts w:ascii="Times New Roman" w:cs="Times New Roman" w:eastAsia="Times New Roman" w:hAnsi="Times New Roman"/>
        <w:b w:val="0"/>
        <w:i w:val="0"/>
        <w:sz w:val="24"/>
        <w:szCs w:val="24"/>
      </w:rPr>
    </w:lvl>
    <w:lvl w:ilvl="2">
      <w:start w:val="0"/>
      <w:numFmt w:val="bullet"/>
      <w:lvlText w:val="•"/>
      <w:lvlJc w:val="left"/>
      <w:pPr>
        <w:ind w:left="2672" w:hanging="812"/>
      </w:pPr>
      <w:rPr/>
    </w:lvl>
    <w:lvl w:ilvl="3">
      <w:start w:val="0"/>
      <w:numFmt w:val="bullet"/>
      <w:lvlText w:val="•"/>
      <w:lvlJc w:val="left"/>
      <w:pPr>
        <w:ind w:left="3538" w:hanging="812"/>
      </w:pPr>
      <w:rPr/>
    </w:lvl>
    <w:lvl w:ilvl="4">
      <w:start w:val="0"/>
      <w:numFmt w:val="bullet"/>
      <w:lvlText w:val="•"/>
      <w:lvlJc w:val="left"/>
      <w:pPr>
        <w:ind w:left="4404" w:hanging="812"/>
      </w:pPr>
      <w:rPr/>
    </w:lvl>
    <w:lvl w:ilvl="5">
      <w:start w:val="0"/>
      <w:numFmt w:val="bullet"/>
      <w:lvlText w:val="•"/>
      <w:lvlJc w:val="left"/>
      <w:pPr>
        <w:ind w:left="5270" w:hanging="812"/>
      </w:pPr>
      <w:rPr/>
    </w:lvl>
    <w:lvl w:ilvl="6">
      <w:start w:val="0"/>
      <w:numFmt w:val="bullet"/>
      <w:lvlText w:val="•"/>
      <w:lvlJc w:val="left"/>
      <w:pPr>
        <w:ind w:left="6136" w:hanging="812"/>
      </w:pPr>
      <w:rPr/>
    </w:lvl>
    <w:lvl w:ilvl="7">
      <w:start w:val="0"/>
      <w:numFmt w:val="bullet"/>
      <w:lvlText w:val="•"/>
      <w:lvlJc w:val="left"/>
      <w:pPr>
        <w:ind w:left="7002" w:hanging="812"/>
      </w:pPr>
      <w:rPr/>
    </w:lvl>
    <w:lvl w:ilvl="8">
      <w:start w:val="0"/>
      <w:numFmt w:val="bullet"/>
      <w:lvlText w:val="•"/>
      <w:lvlJc w:val="left"/>
      <w:pPr>
        <w:ind w:left="7868" w:hanging="812.0000000000009"/>
      </w:pPr>
      <w:rPr/>
    </w:lvl>
  </w:abstractNum>
  <w:abstractNum w:abstractNumId="5">
    <w:lvl w:ilvl="0">
      <w:start w:val="9"/>
      <w:numFmt w:val="decimal"/>
      <w:lvlText w:val="%1"/>
      <w:lvlJc w:val="left"/>
      <w:pPr>
        <w:ind w:left="931" w:hanging="812.0000000000001"/>
      </w:pPr>
      <w:rPr/>
    </w:lvl>
    <w:lvl w:ilvl="1">
      <w:start w:val="1"/>
      <w:numFmt w:val="decimal"/>
      <w:lvlText w:val="%1.%2"/>
      <w:lvlJc w:val="left"/>
      <w:pPr>
        <w:ind w:left="931" w:hanging="812.0000000000001"/>
      </w:pPr>
      <w:rPr>
        <w:rFonts w:ascii="Times New Roman" w:cs="Times New Roman" w:eastAsia="Times New Roman" w:hAnsi="Times New Roman"/>
        <w:b w:val="0"/>
        <w:i w:val="0"/>
        <w:sz w:val="24"/>
        <w:szCs w:val="24"/>
      </w:rPr>
    </w:lvl>
    <w:lvl w:ilvl="2">
      <w:start w:val="0"/>
      <w:numFmt w:val="bullet"/>
      <w:lvlText w:val="•"/>
      <w:lvlJc w:val="left"/>
      <w:pPr>
        <w:ind w:left="2672" w:hanging="812"/>
      </w:pPr>
      <w:rPr/>
    </w:lvl>
    <w:lvl w:ilvl="3">
      <w:start w:val="0"/>
      <w:numFmt w:val="bullet"/>
      <w:lvlText w:val="•"/>
      <w:lvlJc w:val="left"/>
      <w:pPr>
        <w:ind w:left="3538" w:hanging="812"/>
      </w:pPr>
      <w:rPr/>
    </w:lvl>
    <w:lvl w:ilvl="4">
      <w:start w:val="0"/>
      <w:numFmt w:val="bullet"/>
      <w:lvlText w:val="•"/>
      <w:lvlJc w:val="left"/>
      <w:pPr>
        <w:ind w:left="4404" w:hanging="812"/>
      </w:pPr>
      <w:rPr/>
    </w:lvl>
    <w:lvl w:ilvl="5">
      <w:start w:val="0"/>
      <w:numFmt w:val="bullet"/>
      <w:lvlText w:val="•"/>
      <w:lvlJc w:val="left"/>
      <w:pPr>
        <w:ind w:left="5270" w:hanging="812"/>
      </w:pPr>
      <w:rPr/>
    </w:lvl>
    <w:lvl w:ilvl="6">
      <w:start w:val="0"/>
      <w:numFmt w:val="bullet"/>
      <w:lvlText w:val="•"/>
      <w:lvlJc w:val="left"/>
      <w:pPr>
        <w:ind w:left="6136" w:hanging="812"/>
      </w:pPr>
      <w:rPr/>
    </w:lvl>
    <w:lvl w:ilvl="7">
      <w:start w:val="0"/>
      <w:numFmt w:val="bullet"/>
      <w:lvlText w:val="•"/>
      <w:lvlJc w:val="left"/>
      <w:pPr>
        <w:ind w:left="7002" w:hanging="812"/>
      </w:pPr>
      <w:rPr/>
    </w:lvl>
    <w:lvl w:ilvl="8">
      <w:start w:val="0"/>
      <w:numFmt w:val="bullet"/>
      <w:lvlText w:val="•"/>
      <w:lvlJc w:val="left"/>
      <w:pPr>
        <w:ind w:left="7868" w:hanging="812.0000000000009"/>
      </w:pPr>
      <w:rPr/>
    </w:lvl>
  </w:abstractNum>
  <w:abstractNum w:abstractNumId="6">
    <w:lvl w:ilvl="0">
      <w:start w:val="8"/>
      <w:numFmt w:val="decimal"/>
      <w:lvlText w:val="%1"/>
      <w:lvlJc w:val="left"/>
      <w:pPr>
        <w:ind w:left="931" w:hanging="812.0000000000001"/>
      </w:pPr>
      <w:rPr/>
    </w:lvl>
    <w:lvl w:ilvl="1">
      <w:start w:val="1"/>
      <w:numFmt w:val="decimal"/>
      <w:lvlText w:val="%1.%2"/>
      <w:lvlJc w:val="left"/>
      <w:pPr>
        <w:ind w:left="931" w:hanging="812.0000000000001"/>
      </w:pPr>
      <w:rPr>
        <w:rFonts w:ascii="Times New Roman" w:cs="Times New Roman" w:eastAsia="Times New Roman" w:hAnsi="Times New Roman"/>
        <w:b w:val="0"/>
        <w:i w:val="0"/>
        <w:sz w:val="24"/>
        <w:szCs w:val="24"/>
      </w:rPr>
    </w:lvl>
    <w:lvl w:ilvl="2">
      <w:start w:val="0"/>
      <w:numFmt w:val="bullet"/>
      <w:lvlText w:val="•"/>
      <w:lvlJc w:val="left"/>
      <w:pPr>
        <w:ind w:left="2672" w:hanging="812"/>
      </w:pPr>
      <w:rPr/>
    </w:lvl>
    <w:lvl w:ilvl="3">
      <w:start w:val="0"/>
      <w:numFmt w:val="bullet"/>
      <w:lvlText w:val="•"/>
      <w:lvlJc w:val="left"/>
      <w:pPr>
        <w:ind w:left="3538" w:hanging="812"/>
      </w:pPr>
      <w:rPr/>
    </w:lvl>
    <w:lvl w:ilvl="4">
      <w:start w:val="0"/>
      <w:numFmt w:val="bullet"/>
      <w:lvlText w:val="•"/>
      <w:lvlJc w:val="left"/>
      <w:pPr>
        <w:ind w:left="4404" w:hanging="812"/>
      </w:pPr>
      <w:rPr/>
    </w:lvl>
    <w:lvl w:ilvl="5">
      <w:start w:val="0"/>
      <w:numFmt w:val="bullet"/>
      <w:lvlText w:val="•"/>
      <w:lvlJc w:val="left"/>
      <w:pPr>
        <w:ind w:left="5270" w:hanging="812"/>
      </w:pPr>
      <w:rPr/>
    </w:lvl>
    <w:lvl w:ilvl="6">
      <w:start w:val="0"/>
      <w:numFmt w:val="bullet"/>
      <w:lvlText w:val="•"/>
      <w:lvlJc w:val="left"/>
      <w:pPr>
        <w:ind w:left="6136" w:hanging="812"/>
      </w:pPr>
      <w:rPr/>
    </w:lvl>
    <w:lvl w:ilvl="7">
      <w:start w:val="0"/>
      <w:numFmt w:val="bullet"/>
      <w:lvlText w:val="•"/>
      <w:lvlJc w:val="left"/>
      <w:pPr>
        <w:ind w:left="7002" w:hanging="812"/>
      </w:pPr>
      <w:rPr/>
    </w:lvl>
    <w:lvl w:ilvl="8">
      <w:start w:val="0"/>
      <w:numFmt w:val="bullet"/>
      <w:lvlText w:val="•"/>
      <w:lvlJc w:val="left"/>
      <w:pPr>
        <w:ind w:left="7868" w:hanging="812.0000000000009"/>
      </w:pPr>
      <w:rPr/>
    </w:lvl>
  </w:abstractNum>
  <w:abstractNum w:abstractNumId="7">
    <w:lvl w:ilvl="0">
      <w:start w:val="5"/>
      <w:numFmt w:val="decimal"/>
      <w:lvlText w:val="%1"/>
      <w:lvlJc w:val="left"/>
      <w:pPr>
        <w:ind w:left="984" w:hanging="864"/>
      </w:pPr>
      <w:rPr/>
    </w:lvl>
    <w:lvl w:ilvl="1">
      <w:start w:val="1"/>
      <w:numFmt w:val="decimal"/>
      <w:lvlText w:val="%1.%2"/>
      <w:lvlJc w:val="left"/>
      <w:pPr>
        <w:ind w:left="984" w:hanging="864"/>
      </w:pPr>
      <w:rPr>
        <w:rFonts w:ascii="Times New Roman" w:cs="Times New Roman" w:eastAsia="Times New Roman" w:hAnsi="Times New Roman"/>
        <w:b w:val="0"/>
        <w:i w:val="0"/>
        <w:sz w:val="24"/>
        <w:szCs w:val="24"/>
      </w:rPr>
    </w:lvl>
    <w:lvl w:ilvl="2">
      <w:start w:val="0"/>
      <w:numFmt w:val="bullet"/>
      <w:lvlText w:val="•"/>
      <w:lvlJc w:val="left"/>
      <w:pPr>
        <w:ind w:left="2704" w:hanging="864.0000000000002"/>
      </w:pPr>
      <w:rPr/>
    </w:lvl>
    <w:lvl w:ilvl="3">
      <w:start w:val="0"/>
      <w:numFmt w:val="bullet"/>
      <w:lvlText w:val="•"/>
      <w:lvlJc w:val="left"/>
      <w:pPr>
        <w:ind w:left="3566" w:hanging="863.9999999999995"/>
      </w:pPr>
      <w:rPr/>
    </w:lvl>
    <w:lvl w:ilvl="4">
      <w:start w:val="0"/>
      <w:numFmt w:val="bullet"/>
      <w:lvlText w:val="•"/>
      <w:lvlJc w:val="left"/>
      <w:pPr>
        <w:ind w:left="4428" w:hanging="864"/>
      </w:pPr>
      <w:rPr/>
    </w:lvl>
    <w:lvl w:ilvl="5">
      <w:start w:val="0"/>
      <w:numFmt w:val="bullet"/>
      <w:lvlText w:val="•"/>
      <w:lvlJc w:val="left"/>
      <w:pPr>
        <w:ind w:left="5290" w:hanging="864"/>
      </w:pPr>
      <w:rPr/>
    </w:lvl>
    <w:lvl w:ilvl="6">
      <w:start w:val="0"/>
      <w:numFmt w:val="bullet"/>
      <w:lvlText w:val="•"/>
      <w:lvlJc w:val="left"/>
      <w:pPr>
        <w:ind w:left="6152" w:hanging="863.9999999999991"/>
      </w:pPr>
      <w:rPr/>
    </w:lvl>
    <w:lvl w:ilvl="7">
      <w:start w:val="0"/>
      <w:numFmt w:val="bullet"/>
      <w:lvlText w:val="•"/>
      <w:lvlJc w:val="left"/>
      <w:pPr>
        <w:ind w:left="7014" w:hanging="864"/>
      </w:pPr>
      <w:rPr/>
    </w:lvl>
    <w:lvl w:ilvl="8">
      <w:start w:val="0"/>
      <w:numFmt w:val="bullet"/>
      <w:lvlText w:val="•"/>
      <w:lvlJc w:val="left"/>
      <w:pPr>
        <w:ind w:left="7876" w:hanging="864"/>
      </w:pPr>
      <w:rPr/>
    </w:lvl>
  </w:abstractNum>
  <w:abstractNum w:abstractNumId="8">
    <w:lvl w:ilvl="0">
      <w:start w:val="4"/>
      <w:numFmt w:val="decimal"/>
      <w:lvlText w:val="%1"/>
      <w:lvlJc w:val="left"/>
      <w:pPr>
        <w:ind w:left="931" w:hanging="812.0000000000001"/>
      </w:pPr>
      <w:rPr/>
    </w:lvl>
    <w:lvl w:ilvl="1">
      <w:start w:val="1"/>
      <w:numFmt w:val="decimal"/>
      <w:lvlText w:val="%1.%2"/>
      <w:lvlJc w:val="left"/>
      <w:pPr>
        <w:ind w:left="931" w:hanging="812.0000000000001"/>
      </w:pPr>
      <w:rPr>
        <w:rFonts w:ascii="Times New Roman" w:cs="Times New Roman" w:eastAsia="Times New Roman" w:hAnsi="Times New Roman"/>
        <w:b w:val="0"/>
        <w:i w:val="0"/>
        <w:sz w:val="24"/>
        <w:szCs w:val="24"/>
      </w:rPr>
    </w:lvl>
    <w:lvl w:ilvl="2">
      <w:start w:val="0"/>
      <w:numFmt w:val="bullet"/>
      <w:lvlText w:val="•"/>
      <w:lvlJc w:val="left"/>
      <w:pPr>
        <w:ind w:left="2672" w:hanging="812"/>
      </w:pPr>
      <w:rPr/>
    </w:lvl>
    <w:lvl w:ilvl="3">
      <w:start w:val="0"/>
      <w:numFmt w:val="bullet"/>
      <w:lvlText w:val="•"/>
      <w:lvlJc w:val="left"/>
      <w:pPr>
        <w:ind w:left="3538" w:hanging="812"/>
      </w:pPr>
      <w:rPr/>
    </w:lvl>
    <w:lvl w:ilvl="4">
      <w:start w:val="0"/>
      <w:numFmt w:val="bullet"/>
      <w:lvlText w:val="•"/>
      <w:lvlJc w:val="left"/>
      <w:pPr>
        <w:ind w:left="4404" w:hanging="812"/>
      </w:pPr>
      <w:rPr/>
    </w:lvl>
    <w:lvl w:ilvl="5">
      <w:start w:val="0"/>
      <w:numFmt w:val="bullet"/>
      <w:lvlText w:val="•"/>
      <w:lvlJc w:val="left"/>
      <w:pPr>
        <w:ind w:left="5270" w:hanging="812"/>
      </w:pPr>
      <w:rPr/>
    </w:lvl>
    <w:lvl w:ilvl="6">
      <w:start w:val="0"/>
      <w:numFmt w:val="bullet"/>
      <w:lvlText w:val="•"/>
      <w:lvlJc w:val="left"/>
      <w:pPr>
        <w:ind w:left="6136" w:hanging="812"/>
      </w:pPr>
      <w:rPr/>
    </w:lvl>
    <w:lvl w:ilvl="7">
      <w:start w:val="0"/>
      <w:numFmt w:val="bullet"/>
      <w:lvlText w:val="•"/>
      <w:lvlJc w:val="left"/>
      <w:pPr>
        <w:ind w:left="7002" w:hanging="812"/>
      </w:pPr>
      <w:rPr/>
    </w:lvl>
    <w:lvl w:ilvl="8">
      <w:start w:val="0"/>
      <w:numFmt w:val="bullet"/>
      <w:lvlText w:val="•"/>
      <w:lvlJc w:val="left"/>
      <w:pPr>
        <w:ind w:left="7868" w:hanging="812.0000000000009"/>
      </w:pPr>
      <w:rPr/>
    </w:lvl>
  </w:abstractNum>
  <w:abstractNum w:abstractNumId="9">
    <w:lvl w:ilvl="0">
      <w:start w:val="3"/>
      <w:numFmt w:val="decimal"/>
      <w:lvlText w:val="%1"/>
      <w:lvlJc w:val="left"/>
      <w:pPr>
        <w:ind w:left="840" w:hanging="720"/>
      </w:pPr>
      <w:rPr/>
    </w:lvl>
    <w:lvl w:ilvl="1">
      <w:start w:val="1"/>
      <w:numFmt w:val="decimal"/>
      <w:lvlText w:val="%1.%2"/>
      <w:lvlJc w:val="left"/>
      <w:pPr>
        <w:ind w:left="840" w:hanging="720"/>
      </w:pPr>
      <w:rPr>
        <w:rFonts w:ascii="Times New Roman" w:cs="Times New Roman" w:eastAsia="Times New Roman" w:hAnsi="Times New Roman"/>
        <w:b w:val="0"/>
        <w:i w:val="0"/>
        <w:sz w:val="24"/>
        <w:szCs w:val="24"/>
      </w:rPr>
    </w:lvl>
    <w:lvl w:ilvl="2">
      <w:start w:val="1"/>
      <w:numFmt w:val="lowerLetter"/>
      <w:lvlText w:val="%3)"/>
      <w:lvlJc w:val="left"/>
      <w:pPr>
        <w:ind w:left="1560" w:hanging="720"/>
      </w:pPr>
      <w:rPr>
        <w:rFonts w:ascii="Times New Roman" w:cs="Times New Roman" w:eastAsia="Times New Roman" w:hAnsi="Times New Roman"/>
        <w:b w:val="0"/>
        <w:i w:val="0"/>
        <w:sz w:val="24"/>
        <w:szCs w:val="24"/>
      </w:rPr>
    </w:lvl>
    <w:lvl w:ilvl="3">
      <w:start w:val="0"/>
      <w:numFmt w:val="bullet"/>
      <w:lvlText w:val="•"/>
      <w:lvlJc w:val="left"/>
      <w:pPr>
        <w:ind w:left="3346" w:hanging="720"/>
      </w:pPr>
      <w:rPr/>
    </w:lvl>
    <w:lvl w:ilvl="4">
      <w:start w:val="0"/>
      <w:numFmt w:val="bullet"/>
      <w:lvlText w:val="•"/>
      <w:lvlJc w:val="left"/>
      <w:pPr>
        <w:ind w:left="4240" w:hanging="720"/>
      </w:pPr>
      <w:rPr/>
    </w:lvl>
    <w:lvl w:ilvl="5">
      <w:start w:val="0"/>
      <w:numFmt w:val="bullet"/>
      <w:lvlText w:val="•"/>
      <w:lvlJc w:val="left"/>
      <w:pPr>
        <w:ind w:left="5133" w:hanging="720"/>
      </w:pPr>
      <w:rPr/>
    </w:lvl>
    <w:lvl w:ilvl="6">
      <w:start w:val="0"/>
      <w:numFmt w:val="bullet"/>
      <w:lvlText w:val="•"/>
      <w:lvlJc w:val="left"/>
      <w:pPr>
        <w:ind w:left="6026" w:hanging="720"/>
      </w:pPr>
      <w:rPr/>
    </w:lvl>
    <w:lvl w:ilvl="7">
      <w:start w:val="0"/>
      <w:numFmt w:val="bullet"/>
      <w:lvlText w:val="•"/>
      <w:lvlJc w:val="left"/>
      <w:pPr>
        <w:ind w:left="6920" w:hanging="720"/>
      </w:pPr>
      <w:rPr/>
    </w:lvl>
    <w:lvl w:ilvl="8">
      <w:start w:val="0"/>
      <w:numFmt w:val="bullet"/>
      <w:lvlText w:val="•"/>
      <w:lvlJc w:val="left"/>
      <w:pPr>
        <w:ind w:left="7813" w:hanging="720"/>
      </w:pPr>
      <w:rPr/>
    </w:lvl>
  </w:abstractNum>
  <w:abstractNum w:abstractNumId="10">
    <w:lvl w:ilvl="0">
      <w:start w:val="2"/>
      <w:numFmt w:val="decimal"/>
      <w:lvlText w:val="%1"/>
      <w:lvlJc w:val="left"/>
      <w:pPr>
        <w:ind w:left="984" w:hanging="864"/>
      </w:pPr>
      <w:rPr/>
    </w:lvl>
    <w:lvl w:ilvl="1">
      <w:start w:val="1"/>
      <w:numFmt w:val="decimal"/>
      <w:lvlText w:val="%1.%2"/>
      <w:lvlJc w:val="left"/>
      <w:pPr>
        <w:ind w:left="984" w:hanging="864"/>
      </w:pPr>
      <w:rPr>
        <w:rFonts w:ascii="Times New Roman" w:cs="Times New Roman" w:eastAsia="Times New Roman" w:hAnsi="Times New Roman"/>
        <w:b w:val="0"/>
        <w:i w:val="0"/>
        <w:sz w:val="24"/>
        <w:szCs w:val="24"/>
      </w:rPr>
    </w:lvl>
    <w:lvl w:ilvl="2">
      <w:start w:val="0"/>
      <w:numFmt w:val="bullet"/>
      <w:lvlText w:val="•"/>
      <w:lvlJc w:val="left"/>
      <w:pPr>
        <w:ind w:left="2704" w:hanging="864.0000000000002"/>
      </w:pPr>
      <w:rPr/>
    </w:lvl>
    <w:lvl w:ilvl="3">
      <w:start w:val="0"/>
      <w:numFmt w:val="bullet"/>
      <w:lvlText w:val="•"/>
      <w:lvlJc w:val="left"/>
      <w:pPr>
        <w:ind w:left="3566" w:hanging="863.9999999999995"/>
      </w:pPr>
      <w:rPr/>
    </w:lvl>
    <w:lvl w:ilvl="4">
      <w:start w:val="0"/>
      <w:numFmt w:val="bullet"/>
      <w:lvlText w:val="•"/>
      <w:lvlJc w:val="left"/>
      <w:pPr>
        <w:ind w:left="4428" w:hanging="864"/>
      </w:pPr>
      <w:rPr/>
    </w:lvl>
    <w:lvl w:ilvl="5">
      <w:start w:val="0"/>
      <w:numFmt w:val="bullet"/>
      <w:lvlText w:val="•"/>
      <w:lvlJc w:val="left"/>
      <w:pPr>
        <w:ind w:left="5290" w:hanging="864"/>
      </w:pPr>
      <w:rPr/>
    </w:lvl>
    <w:lvl w:ilvl="6">
      <w:start w:val="0"/>
      <w:numFmt w:val="bullet"/>
      <w:lvlText w:val="•"/>
      <w:lvlJc w:val="left"/>
      <w:pPr>
        <w:ind w:left="6152" w:hanging="863.9999999999991"/>
      </w:pPr>
      <w:rPr/>
    </w:lvl>
    <w:lvl w:ilvl="7">
      <w:start w:val="0"/>
      <w:numFmt w:val="bullet"/>
      <w:lvlText w:val="•"/>
      <w:lvlJc w:val="left"/>
      <w:pPr>
        <w:ind w:left="7014" w:hanging="864"/>
      </w:pPr>
      <w:rPr/>
    </w:lvl>
    <w:lvl w:ilvl="8">
      <w:start w:val="0"/>
      <w:numFmt w:val="bullet"/>
      <w:lvlText w:val="•"/>
      <w:lvlJc w:val="left"/>
      <w:pPr>
        <w:ind w:left="7876" w:hanging="86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120"/>
      <w:outlineLvl w:val="1"/>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931" w:right="115" w:hanging="812"/>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RxpbWTi0kmeSqorFiOXp2Qdgg==">CgMxLjAyCWlkLmdqZGd4czIKaWQuMzBqMHpsbDgAciExNkNVYkREWWFfTi1YNGZMTk8zU0d6SWx6bC1sbVZqUmQ=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2024-09-05T15:49:31Z</dcterms:created>
  <dc:creator>Sharon A. Roth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2023-01-13T00:00:00Z</vt:lpwstr>
  </property>
  <property fmtid="{D5CDD505-2E9C-101B-9397-08002B2CF9AE}" pid="3" name="Creator">
    <vt:lpwstr>Acrobat PDFMaker 22 for Word</vt:lpwstr>
  </property>
  <property fmtid="{D5CDD505-2E9C-101B-9397-08002B2CF9AE}" pid="4" name="LastSaved">
    <vt:lpwstr>2024-09-05T00:00:00Z</vt:lpwstr>
  </property>
  <property fmtid="{D5CDD505-2E9C-101B-9397-08002B2CF9AE}" pid="5" name="Producer">
    <vt:lpwstr>Adobe PDF Library 22.3.86</vt:lpwstr>
  </property>
  <property fmtid="{D5CDD505-2E9C-101B-9397-08002B2CF9AE}" pid="6" name="SourceModified">
    <vt:lpwstr>D:20230111134344</vt:lpwstr>
  </property>
</Properties>
</file>