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B9AC" w14:textId="77777777" w:rsidR="009B5B50" w:rsidRPr="00045F41" w:rsidRDefault="009B5B50" w:rsidP="009B5B50">
      <w:pPr>
        <w:rPr>
          <w:rFonts w:ascii="Arial Narrow" w:hAnsi="Arial Narrow" w:cs="Arial"/>
          <w:b/>
          <w:sz w:val="20"/>
          <w:szCs w:val="20"/>
        </w:rPr>
      </w:pPr>
      <w:r w:rsidRPr="00045F41">
        <w:rPr>
          <w:rFonts w:ascii="Arial Narrow" w:hAnsi="Arial Narrow" w:cs="Arial"/>
          <w:b/>
          <w:sz w:val="20"/>
          <w:szCs w:val="20"/>
        </w:rPr>
        <w:t>PURPOSE and SCOPE</w:t>
      </w:r>
    </w:p>
    <w:p w14:paraId="06D7ACB7" w14:textId="77777777" w:rsidR="009B5B50" w:rsidRDefault="009B5B50" w:rsidP="009B5B50">
      <w:pPr>
        <w:rPr>
          <w:rFonts w:ascii="Arial Narrow" w:hAnsi="Arial Narrow" w:cs="Arial"/>
          <w:sz w:val="20"/>
          <w:szCs w:val="20"/>
        </w:rPr>
      </w:pPr>
      <w:r w:rsidRPr="00045F41">
        <w:rPr>
          <w:rFonts w:ascii="Arial Narrow" w:hAnsi="Arial Narrow" w:cs="Arial"/>
          <w:sz w:val="20"/>
          <w:szCs w:val="20"/>
        </w:rPr>
        <w:t xml:space="preserve">The </w:t>
      </w:r>
      <w:r w:rsidR="000D4F72">
        <w:rPr>
          <w:rFonts w:ascii="Arial Narrow" w:hAnsi="Arial Narrow" w:cs="Arial"/>
          <w:sz w:val="20"/>
          <w:szCs w:val="20"/>
        </w:rPr>
        <w:t xml:space="preserve">purpose of this worksheet is to provide support for the IRB when evaluating payments to research participants. </w:t>
      </w:r>
      <w:r w:rsidRPr="00045F41">
        <w:rPr>
          <w:rFonts w:ascii="Arial Narrow" w:hAnsi="Arial Narrow" w:cs="Arial"/>
          <w:sz w:val="20"/>
          <w:szCs w:val="20"/>
        </w:rPr>
        <w:t>This worksheet is to be used. It does not need to be completed or retained.</w:t>
      </w:r>
    </w:p>
    <w:p w14:paraId="1B09A8EC" w14:textId="77777777" w:rsidR="009B5B50" w:rsidRPr="009B5B50" w:rsidRDefault="009B5B50" w:rsidP="009B5B50">
      <w:pPr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"/>
        <w:gridCol w:w="9540"/>
      </w:tblGrid>
      <w:tr w:rsidR="009B5B50" w:rsidRPr="00045F41" w14:paraId="52E47052" w14:textId="77777777" w:rsidTr="00FF234F">
        <w:tc>
          <w:tcPr>
            <w:tcW w:w="1043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14D" w14:textId="77777777" w:rsidR="009B5B50" w:rsidRPr="000D4F72" w:rsidRDefault="002E07D1" w:rsidP="000D4F7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1 </w:t>
            </w:r>
            <w:r w:rsidR="000D4F72">
              <w:rPr>
                <w:rFonts w:ascii="Arial Narrow" w:hAnsi="Arial Narrow" w:cs="Arial"/>
                <w:b/>
                <w:sz w:val="20"/>
                <w:szCs w:val="20"/>
              </w:rPr>
              <w:t xml:space="preserve">Requirements for payments </w:t>
            </w:r>
            <w:r w:rsidR="000D4F72">
              <w:rPr>
                <w:rFonts w:ascii="Arial Narrow" w:hAnsi="Arial Narrow" w:cs="Arial"/>
                <w:sz w:val="20"/>
                <w:szCs w:val="20"/>
              </w:rPr>
              <w:t>(Check if “Yes”</w:t>
            </w:r>
            <w:r w:rsidR="006731B5">
              <w:rPr>
                <w:rFonts w:ascii="Arial Narrow" w:hAnsi="Arial Narrow" w:cs="Arial"/>
                <w:sz w:val="20"/>
                <w:szCs w:val="20"/>
              </w:rPr>
              <w:t xml:space="preserve"> or “N/A”</w:t>
            </w:r>
            <w:r w:rsidR="000D4F72">
              <w:rPr>
                <w:rFonts w:ascii="Arial Narrow" w:hAnsi="Arial Narrow" w:cs="Arial"/>
                <w:sz w:val="20"/>
                <w:szCs w:val="20"/>
              </w:rPr>
              <w:t>. All must be checked.)</w:t>
            </w:r>
          </w:p>
        </w:tc>
      </w:tr>
      <w:tr w:rsidR="00823EB6" w:rsidRPr="00045F41" w14:paraId="166A79A3" w14:textId="77777777" w:rsidTr="008D25CC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64893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0B5E277" w14:textId="77777777" w:rsidR="00823EB6" w:rsidRPr="00045F41" w:rsidRDefault="00823EB6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F8D" w14:textId="77777777" w:rsidR="00823EB6" w:rsidRPr="00045F41" w:rsidRDefault="00823EB6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All payments are described in the protocol, including (Check if “Yes”. All must be checked.):</w:t>
            </w:r>
          </w:p>
        </w:tc>
      </w:tr>
      <w:tr w:rsidR="00823EB6" w:rsidRPr="00045F41" w14:paraId="0D8571D5" w14:textId="77777777" w:rsidTr="008D25CC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2DF9" w14:textId="77777777" w:rsidR="00823EB6" w:rsidRDefault="00823EB6" w:rsidP="00FF23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b/>
              <w:sz w:val="20"/>
              <w:szCs w:val="20"/>
            </w:rPr>
            <w:id w:val="63175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F54F11" w14:textId="77777777" w:rsidR="00823EB6" w:rsidRDefault="00823EB6" w:rsidP="00FF234F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466C" w14:textId="77777777" w:rsidR="00823EB6" w:rsidRDefault="00823EB6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Amount</w:t>
            </w:r>
          </w:p>
        </w:tc>
      </w:tr>
      <w:tr w:rsidR="00823EB6" w:rsidRPr="00045F41" w14:paraId="41184661" w14:textId="77777777" w:rsidTr="008D25CC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CAEA0" w14:textId="77777777" w:rsidR="00823EB6" w:rsidRDefault="00823EB6" w:rsidP="00FF23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b/>
              <w:sz w:val="20"/>
              <w:szCs w:val="20"/>
            </w:rPr>
            <w:id w:val="109375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741D73" w14:textId="77777777" w:rsidR="00823EB6" w:rsidRDefault="00823EB6" w:rsidP="00FF234F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8C8" w14:textId="77777777" w:rsidR="00823EB6" w:rsidRDefault="00823EB6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Method</w:t>
            </w:r>
          </w:p>
        </w:tc>
      </w:tr>
      <w:tr w:rsidR="00823EB6" w:rsidRPr="00045F41" w14:paraId="7CBC22CB" w14:textId="77777777" w:rsidTr="008D25CC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A25" w14:textId="77777777" w:rsidR="00823EB6" w:rsidRDefault="00823EB6" w:rsidP="00FF234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b/>
              <w:sz w:val="20"/>
              <w:szCs w:val="20"/>
            </w:rPr>
            <w:id w:val="171576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CD99C1" w14:textId="77777777" w:rsidR="00823EB6" w:rsidRDefault="00823EB6" w:rsidP="00FF234F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290" w14:textId="77777777" w:rsidR="00823EB6" w:rsidRDefault="00823EB6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Timing of disbursement</w:t>
            </w:r>
          </w:p>
        </w:tc>
      </w:tr>
      <w:tr w:rsidR="009B5B50" w:rsidRPr="00045F41" w14:paraId="41EB6272" w14:textId="77777777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15964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8FC6B2" w14:textId="77777777"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BBC" w14:textId="77777777" w:rsidR="009B5B50" w:rsidRPr="00045F41" w:rsidRDefault="000D4F72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Credit for payment accrues as the study progresses.</w:t>
            </w:r>
          </w:p>
        </w:tc>
      </w:tr>
      <w:tr w:rsidR="002E07D1" w:rsidRPr="00045F41" w14:paraId="089E1F68" w14:textId="77777777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65973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2C7D43" w14:textId="77777777" w:rsidR="002E07D1" w:rsidRDefault="002E07D1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8FB" w14:textId="77777777" w:rsidR="002E07D1" w:rsidRDefault="000D4F72" w:rsidP="00FF23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Payment is not contingent upon completing the entire study. </w:t>
            </w:r>
            <w:r w:rsidR="002E07D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2E07D1" w:rsidRPr="00045F41" w14:paraId="6CA6F126" w14:textId="77777777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-206362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27916E" w14:textId="77777777" w:rsidR="002E07D1" w:rsidRDefault="002E07D1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8BA" w14:textId="77777777" w:rsidR="002E07D1" w:rsidRDefault="000D4F72" w:rsidP="000D4F7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amount of payment and the proposed method and timing of disbursement is neither coercive nor presents undue influence.</w:t>
            </w:r>
          </w:p>
        </w:tc>
      </w:tr>
      <w:tr w:rsidR="009B5B50" w:rsidRPr="00045F41" w14:paraId="38682E86" w14:textId="77777777" w:rsidTr="000D4F72">
        <w:sdt>
          <w:sdtPr>
            <w:rPr>
              <w:rFonts w:ascii="Arial Narrow" w:hAnsi="Arial Narrow" w:cs="Arial"/>
              <w:b/>
              <w:sz w:val="20"/>
              <w:szCs w:val="20"/>
            </w:rPr>
            <w:id w:val="90488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7E26E1" w14:textId="77777777"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B1F" w14:textId="77777777" w:rsidR="009B5B50" w:rsidRPr="00045F41" w:rsidRDefault="000D4F72" w:rsidP="002E07D1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Any amount paid as a bonus for completion is reasonable and not so large as to unduly influence participants to stay in the study when they would have otherwise withdrawn.</w:t>
            </w:r>
          </w:p>
        </w:tc>
      </w:tr>
      <w:tr w:rsidR="009B5B50" w:rsidRPr="00045F41" w14:paraId="12DE715B" w14:textId="77777777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66273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FCD8F3E" w14:textId="77777777"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5BFCF8B7" w14:textId="77777777" w:rsidR="009B5B50" w:rsidRPr="000D3CEE" w:rsidRDefault="000D4F72" w:rsidP="00FF234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All information concerning payment, including the amount and schedule of payments, is in the informed consent document. </w:t>
            </w:r>
          </w:p>
        </w:tc>
      </w:tr>
      <w:tr w:rsidR="009B5B50" w:rsidRPr="00045F41" w14:paraId="4982B6C7" w14:textId="77777777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-176421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7AAF609C" w14:textId="77777777" w:rsidR="009B5B50" w:rsidRPr="00045F41" w:rsidRDefault="009B5B50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351A357C" w14:textId="77777777" w:rsidR="009B5B50" w:rsidRPr="00045F41" w:rsidRDefault="000D4F72" w:rsidP="002E07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Compensation does not include a coupon good for a discount on the purchase price of the product once it has been approved.</w:t>
            </w:r>
          </w:p>
        </w:tc>
      </w:tr>
      <w:tr w:rsidR="000D4F72" w:rsidRPr="00045F41" w14:paraId="2AA9D5B1" w14:textId="77777777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-204149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36AADD3D" w14:textId="77777777" w:rsidR="000D4F72" w:rsidRDefault="00823EB6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53F64B0B" w14:textId="77777777" w:rsidR="000D4F72" w:rsidRDefault="000D4F72" w:rsidP="002E07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Compensation is not described as a “benefit” to participation. </w:t>
            </w:r>
          </w:p>
        </w:tc>
      </w:tr>
      <w:tr w:rsidR="000D4F72" w:rsidRPr="00045F41" w14:paraId="08E2B3A1" w14:textId="77777777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77882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077A1F8" w14:textId="77777777" w:rsidR="000D4F72" w:rsidRDefault="00823EB6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188D898D" w14:textId="77777777" w:rsidR="000D4F72" w:rsidRDefault="000D4F72" w:rsidP="002E07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informed consent process specifies how participants will be compensated, the amount of payment, and any conditions under which participants will receive no or partial compensation. </w:t>
            </w:r>
          </w:p>
        </w:tc>
      </w:tr>
      <w:tr w:rsidR="000D4F72" w:rsidRPr="00045F41" w14:paraId="125B7A55" w14:textId="77777777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2142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7C11CCF3" w14:textId="77777777" w:rsidR="000D4F72" w:rsidRDefault="00823EB6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51F07F96" w14:textId="77777777" w:rsidR="000D4F72" w:rsidRDefault="000D4F72" w:rsidP="002E07D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Proposed cash payments to participants are appropriate for the study and the participant population.</w:t>
            </w:r>
          </w:p>
        </w:tc>
      </w:tr>
      <w:tr w:rsidR="000D4F72" w:rsidRPr="00045F41" w14:paraId="022C8060" w14:textId="77777777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93199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A70C460" w14:textId="77777777" w:rsidR="000D4F72" w:rsidRDefault="00823EB6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332A8B3D" w14:textId="77777777" w:rsidR="000D4F72" w:rsidRDefault="006731B5" w:rsidP="006731B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 identifiable information must be collected as a prerequisite to compensation, this is described adequately and accurately during the informed consent process, and the protocol describes adequate measures to protect confidentiality.</w:t>
            </w:r>
          </w:p>
        </w:tc>
      </w:tr>
      <w:tr w:rsidR="006731B5" w:rsidRPr="00045F41" w14:paraId="3E1DDCB9" w14:textId="77777777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-43791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04594DB" w14:textId="77777777" w:rsidR="006731B5" w:rsidRDefault="00823EB6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086C4EF6" w14:textId="77777777" w:rsidR="006731B5" w:rsidRDefault="00B07997" w:rsidP="006731B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Any lottery or raffle proposed conforms</w:t>
            </w:r>
            <w:r w:rsidR="006731B5">
              <w:rPr>
                <w:rFonts w:ascii="Arial Narrow" w:hAnsi="Arial Narrow" w:cs="Arial"/>
                <w:sz w:val="20"/>
                <w:szCs w:val="20"/>
              </w:rPr>
              <w:t xml:space="preserve"> to the requirements outlined the </w:t>
            </w:r>
            <w:hyperlink r:id="rId8" w:history="1">
              <w:r w:rsidR="006731B5" w:rsidRPr="006731B5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Lehigh University Human Subjects Research Policy</w:t>
              </w:r>
            </w:hyperlink>
            <w:r w:rsidR="006731B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</w:tr>
      <w:tr w:rsidR="005A607C" w:rsidRPr="00045F41" w14:paraId="172B8958" w14:textId="77777777" w:rsidTr="00FF234F">
        <w:sdt>
          <w:sdtPr>
            <w:rPr>
              <w:rFonts w:ascii="Arial Narrow" w:hAnsi="Arial Narrow" w:cs="Arial"/>
              <w:b/>
              <w:sz w:val="20"/>
              <w:szCs w:val="20"/>
            </w:rPr>
            <w:id w:val="145659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1AA978FD" w14:textId="77777777" w:rsidR="005A607C" w:rsidRDefault="005A607C" w:rsidP="00FF234F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2"/>
          </w:tcPr>
          <w:p w14:paraId="72934784" w14:textId="23E2EF33" w:rsidR="005A607C" w:rsidRDefault="005A607C" w:rsidP="006731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B055E6">
              <w:rPr>
                <w:rFonts w:ascii="Arial Narrow" w:hAnsi="Arial Narrow" w:cs="Arial"/>
                <w:sz w:val="20"/>
                <w:szCs w:val="20"/>
              </w:rPr>
              <w:t>No participant will receive more than $600 in compensation within a single calendar year. If a participant is involved in multiple studies</w:t>
            </w:r>
            <w:r w:rsidR="00B055E6">
              <w:rPr>
                <w:rFonts w:ascii="Arial Narrow" w:hAnsi="Arial Narrow" w:cs="Arial"/>
                <w:sz w:val="20"/>
                <w:szCs w:val="20"/>
              </w:rPr>
              <w:t xml:space="preserve"> involving payment at Lehigh</w:t>
            </w:r>
            <w:r w:rsidRPr="00B055E6">
              <w:rPr>
                <w:rFonts w:ascii="Arial Narrow" w:hAnsi="Arial Narrow" w:cs="Arial"/>
                <w:sz w:val="20"/>
                <w:szCs w:val="20"/>
              </w:rPr>
              <w:t xml:space="preserve">, the PI will inform </w:t>
            </w:r>
            <w:hyperlink r:id="rId9" w:history="1">
              <w:r w:rsidRPr="00B055E6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Research Accounting</w:t>
              </w:r>
            </w:hyperlink>
            <w:r w:rsidRPr="00B055E6">
              <w:rPr>
                <w:rFonts w:ascii="Arial Narrow" w:hAnsi="Arial Narrow" w:cs="Arial"/>
                <w:sz w:val="20"/>
                <w:szCs w:val="20"/>
              </w:rPr>
              <w:t xml:space="preserve"> of the annual amount paid to that participant for the study</w:t>
            </w:r>
            <w:r w:rsidR="00B055E6" w:rsidRPr="00B055E6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B055E6">
              <w:rPr>
                <w:rFonts w:ascii="Arial Narrow" w:hAnsi="Arial Narrow" w:cs="Arial"/>
                <w:sz w:val="20"/>
                <w:szCs w:val="20"/>
              </w:rPr>
              <w:t xml:space="preserve"> along with the participant’s name and contact info.</w:t>
            </w:r>
          </w:p>
        </w:tc>
      </w:tr>
    </w:tbl>
    <w:p w14:paraId="7C40A824" w14:textId="77777777" w:rsidR="0028533A" w:rsidRPr="009B5B50" w:rsidRDefault="0028533A" w:rsidP="009B5B50">
      <w:pPr>
        <w:rPr>
          <w:rFonts w:ascii="Arial Narrow" w:hAnsi="Arial Narrow" w:cs="Arial"/>
          <w:sz w:val="20"/>
          <w:szCs w:val="20"/>
        </w:rPr>
      </w:pPr>
    </w:p>
    <w:sectPr w:rsidR="0028533A" w:rsidRPr="009B5B50" w:rsidSect="00837C86">
      <w:headerReference w:type="default" r:id="rId10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6B59" w14:textId="77777777" w:rsidR="00DB6DB1" w:rsidRDefault="00DB6DB1" w:rsidP="003436E5">
      <w:r>
        <w:separator/>
      </w:r>
    </w:p>
  </w:endnote>
  <w:endnote w:type="continuationSeparator" w:id="0">
    <w:p w14:paraId="4D7F9E77" w14:textId="77777777" w:rsidR="00DB6DB1" w:rsidRDefault="00DB6DB1" w:rsidP="0034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9D63" w14:textId="77777777" w:rsidR="00DB6DB1" w:rsidRDefault="00DB6DB1" w:rsidP="003436E5">
      <w:r>
        <w:separator/>
      </w:r>
    </w:p>
  </w:footnote>
  <w:footnote w:type="continuationSeparator" w:id="0">
    <w:p w14:paraId="44309D50" w14:textId="77777777" w:rsidR="00DB6DB1" w:rsidRDefault="00DB6DB1" w:rsidP="0034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975"/>
      <w:gridCol w:w="1530"/>
      <w:gridCol w:w="1440"/>
      <w:gridCol w:w="2340"/>
      <w:gridCol w:w="3240"/>
    </w:tblGrid>
    <w:tr w:rsidR="003436E5" w14:paraId="50F10E99" w14:textId="77777777" w:rsidTr="00856EA8">
      <w:tc>
        <w:tcPr>
          <w:tcW w:w="1975" w:type="dxa"/>
          <w:vMerge w:val="restart"/>
        </w:tcPr>
        <w:p w14:paraId="22AB1271" w14:textId="77777777" w:rsidR="00005049" w:rsidRPr="00005049" w:rsidRDefault="00005049" w:rsidP="00005049">
          <w:pPr>
            <w:rPr>
              <w:rFonts w:ascii="Arial" w:hAnsi="Arial" w:cs="Arial"/>
              <w:noProof/>
              <w:sz w:val="4"/>
              <w:szCs w:val="4"/>
            </w:rPr>
          </w:pPr>
        </w:p>
        <w:p w14:paraId="17EF3393" w14:textId="77777777" w:rsidR="003436E5" w:rsidRDefault="0028533A" w:rsidP="00005049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9E01751" wp14:editId="74EB2C5B">
                <wp:extent cx="1116965" cy="370840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u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5" cy="370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9A3C8F" w14:textId="77777777" w:rsidR="00005049" w:rsidRPr="00005049" w:rsidRDefault="00005049" w:rsidP="00005049">
          <w:pPr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8550" w:type="dxa"/>
          <w:gridSpan w:val="4"/>
        </w:tcPr>
        <w:p w14:paraId="0E120F98" w14:textId="77777777" w:rsidR="0029342D" w:rsidRDefault="0029342D" w:rsidP="00CD1AC2">
          <w:pPr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Institutional Review Board (IRB)</w:t>
          </w:r>
        </w:p>
        <w:p w14:paraId="65ED054B" w14:textId="77777777" w:rsidR="003436E5" w:rsidRPr="0047527C" w:rsidRDefault="00E053A5" w:rsidP="000D4F72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WORKSHEET: </w:t>
          </w:r>
          <w:r w:rsidR="000D4F72">
            <w:rPr>
              <w:rFonts w:ascii="Arial Narrow" w:hAnsi="Arial Narrow" w:cs="Arial"/>
              <w:b/>
              <w:sz w:val="20"/>
              <w:szCs w:val="20"/>
            </w:rPr>
            <w:t>Payments to Research Participants</w:t>
          </w:r>
        </w:p>
      </w:tc>
    </w:tr>
    <w:tr w:rsidR="00E053A5" w14:paraId="0B0361CA" w14:textId="77777777" w:rsidTr="00E053A5">
      <w:trPr>
        <w:trHeight w:val="135"/>
      </w:trPr>
      <w:tc>
        <w:tcPr>
          <w:tcW w:w="1975" w:type="dxa"/>
          <w:vMerge/>
        </w:tcPr>
        <w:p w14:paraId="4AC9E331" w14:textId="77777777" w:rsidR="00E053A5" w:rsidRPr="003436E5" w:rsidRDefault="00E053A5" w:rsidP="003436E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30" w:type="dxa"/>
        </w:tcPr>
        <w:p w14:paraId="3E1D9FF3" w14:textId="77777777" w:rsidR="00E053A5" w:rsidRPr="0047527C" w:rsidRDefault="00E053A5" w:rsidP="003436E5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EDITION</w:t>
          </w:r>
        </w:p>
      </w:tc>
      <w:tc>
        <w:tcPr>
          <w:tcW w:w="1440" w:type="dxa"/>
        </w:tcPr>
        <w:p w14:paraId="118DFC41" w14:textId="77777777" w:rsidR="00E053A5" w:rsidRPr="0047527C" w:rsidRDefault="00E053A5" w:rsidP="003436E5">
          <w:pPr>
            <w:rPr>
              <w:rFonts w:ascii="Arial Narrow" w:hAnsi="Arial Narrow" w:cs="Arial"/>
              <w:sz w:val="20"/>
              <w:szCs w:val="20"/>
            </w:rPr>
          </w:pPr>
          <w:r w:rsidRPr="0047527C">
            <w:rPr>
              <w:rFonts w:ascii="Arial Narrow" w:hAnsi="Arial Narrow" w:cs="Arial"/>
              <w:sz w:val="20"/>
              <w:szCs w:val="20"/>
            </w:rPr>
            <w:t>AUTHOR</w:t>
          </w:r>
        </w:p>
      </w:tc>
      <w:tc>
        <w:tcPr>
          <w:tcW w:w="2340" w:type="dxa"/>
        </w:tcPr>
        <w:p w14:paraId="0F130E53" w14:textId="77777777" w:rsidR="00E053A5" w:rsidRPr="0047527C" w:rsidRDefault="00E053A5" w:rsidP="003436E5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EFFECTIVE DATE</w:t>
          </w:r>
        </w:p>
      </w:tc>
      <w:tc>
        <w:tcPr>
          <w:tcW w:w="3240" w:type="dxa"/>
        </w:tcPr>
        <w:p w14:paraId="69194F48" w14:textId="77777777" w:rsidR="00E053A5" w:rsidRPr="0047527C" w:rsidRDefault="00E053A5" w:rsidP="003436E5">
          <w:pPr>
            <w:rPr>
              <w:rFonts w:ascii="Arial Narrow" w:hAnsi="Arial Narrow" w:cs="Arial"/>
              <w:sz w:val="20"/>
              <w:szCs w:val="20"/>
            </w:rPr>
          </w:pPr>
          <w:r w:rsidRPr="0047527C">
            <w:rPr>
              <w:rFonts w:ascii="Arial Narrow" w:hAnsi="Arial Narrow" w:cs="Arial"/>
              <w:sz w:val="20"/>
              <w:szCs w:val="20"/>
            </w:rPr>
            <w:t>PAGE</w:t>
          </w:r>
        </w:p>
      </w:tc>
    </w:tr>
    <w:tr w:rsidR="00E053A5" w14:paraId="17FCCD64" w14:textId="77777777" w:rsidTr="00E053A5">
      <w:trPr>
        <w:trHeight w:val="135"/>
      </w:trPr>
      <w:tc>
        <w:tcPr>
          <w:tcW w:w="1975" w:type="dxa"/>
          <w:vMerge/>
        </w:tcPr>
        <w:p w14:paraId="1BCB33B0" w14:textId="77777777" w:rsidR="00E053A5" w:rsidRPr="003436E5" w:rsidRDefault="00E053A5" w:rsidP="003436E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30" w:type="dxa"/>
        </w:tcPr>
        <w:p w14:paraId="5D8AAE58" w14:textId="49A47D86" w:rsidR="00E053A5" w:rsidRPr="0047527C" w:rsidRDefault="00E053A5" w:rsidP="0052371C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00</w:t>
          </w:r>
          <w:r w:rsidR="00E727FC">
            <w:rPr>
              <w:rFonts w:ascii="Arial Narrow" w:hAnsi="Arial Narrow" w:cs="Arial"/>
              <w:sz w:val="20"/>
              <w:szCs w:val="20"/>
            </w:rPr>
            <w:t>2</w:t>
          </w:r>
        </w:p>
      </w:tc>
      <w:tc>
        <w:tcPr>
          <w:tcW w:w="1440" w:type="dxa"/>
        </w:tcPr>
        <w:p w14:paraId="2C4F43C8" w14:textId="77777777" w:rsidR="00E053A5" w:rsidRPr="0047527C" w:rsidRDefault="00E053A5" w:rsidP="003436E5">
          <w:pPr>
            <w:rPr>
              <w:rFonts w:ascii="Arial Narrow" w:hAnsi="Arial Narrow" w:cs="Arial"/>
              <w:sz w:val="20"/>
              <w:szCs w:val="20"/>
            </w:rPr>
          </w:pPr>
          <w:r w:rsidRPr="0047527C">
            <w:rPr>
              <w:rFonts w:ascii="Arial Narrow" w:hAnsi="Arial Narrow" w:cs="Arial"/>
              <w:sz w:val="20"/>
              <w:szCs w:val="20"/>
            </w:rPr>
            <w:t>N. Coll</w:t>
          </w:r>
        </w:p>
      </w:tc>
      <w:tc>
        <w:tcPr>
          <w:tcW w:w="2340" w:type="dxa"/>
        </w:tcPr>
        <w:p w14:paraId="77E81304" w14:textId="77777777" w:rsidR="00E053A5" w:rsidRPr="0047527C" w:rsidRDefault="000D4F72" w:rsidP="00457075">
          <w:pPr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25-May-2017</w:t>
          </w:r>
        </w:p>
      </w:tc>
      <w:tc>
        <w:tcPr>
          <w:tcW w:w="3240" w:type="dxa"/>
        </w:tcPr>
        <w:sdt>
          <w:sdtPr>
            <w:rPr>
              <w:rFonts w:ascii="Arial Narrow" w:hAnsi="Arial Narrow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1D2E659C" w14:textId="77777777" w:rsidR="00E053A5" w:rsidRPr="0047527C" w:rsidRDefault="00E053A5" w:rsidP="00981E6C">
              <w:pPr>
                <w:rPr>
                  <w:rFonts w:ascii="Arial Narrow" w:hAnsi="Arial Narrow"/>
                </w:rPr>
              </w:pP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begin"/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instrText xml:space="preserve"> PAGE </w:instrText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separate"/>
              </w:r>
              <w:r w:rsidR="00926F7B">
                <w:rPr>
                  <w:rFonts w:ascii="Arial Narrow" w:hAnsi="Arial Narrow" w:cs="Arial"/>
                  <w:noProof/>
                  <w:sz w:val="20"/>
                  <w:szCs w:val="20"/>
                </w:rPr>
                <w:t>1</w:t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end"/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t xml:space="preserve"> of </w:t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begin"/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instrText xml:space="preserve"> NUMPAGES  </w:instrText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separate"/>
              </w:r>
              <w:r w:rsidR="00926F7B">
                <w:rPr>
                  <w:rFonts w:ascii="Arial Narrow" w:hAnsi="Arial Narrow" w:cs="Arial"/>
                  <w:noProof/>
                  <w:sz w:val="20"/>
                  <w:szCs w:val="20"/>
                </w:rPr>
                <w:t>1</w:t>
              </w:r>
              <w:r w:rsidRPr="0047527C">
                <w:rPr>
                  <w:rFonts w:ascii="Arial Narrow" w:hAnsi="Arial Narrow" w:cs="Arial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8604640" w14:textId="77777777" w:rsidR="003436E5" w:rsidRDefault="003436E5" w:rsidP="00475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32E"/>
    <w:multiLevelType w:val="hybridMultilevel"/>
    <w:tmpl w:val="1DB62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2204"/>
    <w:multiLevelType w:val="hybridMultilevel"/>
    <w:tmpl w:val="2A9C0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6E83"/>
    <w:multiLevelType w:val="hybridMultilevel"/>
    <w:tmpl w:val="EAD8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20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CD6ADF"/>
    <w:multiLevelType w:val="hybridMultilevel"/>
    <w:tmpl w:val="6FAED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1546C"/>
    <w:multiLevelType w:val="hybridMultilevel"/>
    <w:tmpl w:val="32B4B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935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933CE8"/>
    <w:multiLevelType w:val="hybridMultilevel"/>
    <w:tmpl w:val="BC5A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06AB6"/>
    <w:multiLevelType w:val="hybridMultilevel"/>
    <w:tmpl w:val="B7606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78883">
    <w:abstractNumId w:val="2"/>
  </w:num>
  <w:num w:numId="2" w16cid:durableId="806895993">
    <w:abstractNumId w:val="0"/>
  </w:num>
  <w:num w:numId="3" w16cid:durableId="1325475298">
    <w:abstractNumId w:val="5"/>
  </w:num>
  <w:num w:numId="4" w16cid:durableId="802577796">
    <w:abstractNumId w:val="6"/>
  </w:num>
  <w:num w:numId="5" w16cid:durableId="1944268291">
    <w:abstractNumId w:val="1"/>
  </w:num>
  <w:num w:numId="6" w16cid:durableId="400445701">
    <w:abstractNumId w:val="8"/>
  </w:num>
  <w:num w:numId="7" w16cid:durableId="514345986">
    <w:abstractNumId w:val="4"/>
  </w:num>
  <w:num w:numId="8" w16cid:durableId="962658548">
    <w:abstractNumId w:val="3"/>
  </w:num>
  <w:num w:numId="9" w16cid:durableId="272637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40"/>
    <w:rsid w:val="00005049"/>
    <w:rsid w:val="00045F41"/>
    <w:rsid w:val="00046DFB"/>
    <w:rsid w:val="00060440"/>
    <w:rsid w:val="00064023"/>
    <w:rsid w:val="00090FCB"/>
    <w:rsid w:val="000A1361"/>
    <w:rsid w:val="000D3CEE"/>
    <w:rsid w:val="000D4F72"/>
    <w:rsid w:val="000F701D"/>
    <w:rsid w:val="0012031A"/>
    <w:rsid w:val="00152DD0"/>
    <w:rsid w:val="00212FD7"/>
    <w:rsid w:val="0023105D"/>
    <w:rsid w:val="0028533A"/>
    <w:rsid w:val="0029342D"/>
    <w:rsid w:val="002E07D1"/>
    <w:rsid w:val="003436E5"/>
    <w:rsid w:val="0036145C"/>
    <w:rsid w:val="00377797"/>
    <w:rsid w:val="00381AD4"/>
    <w:rsid w:val="00406A65"/>
    <w:rsid w:val="00451437"/>
    <w:rsid w:val="00457075"/>
    <w:rsid w:val="0047527C"/>
    <w:rsid w:val="00500CC1"/>
    <w:rsid w:val="00521479"/>
    <w:rsid w:val="0052371C"/>
    <w:rsid w:val="005A607C"/>
    <w:rsid w:val="0060348B"/>
    <w:rsid w:val="00603646"/>
    <w:rsid w:val="006272A2"/>
    <w:rsid w:val="006716EF"/>
    <w:rsid w:val="006731B5"/>
    <w:rsid w:val="00691EBE"/>
    <w:rsid w:val="00702B50"/>
    <w:rsid w:val="0071363B"/>
    <w:rsid w:val="00782971"/>
    <w:rsid w:val="00823EB6"/>
    <w:rsid w:val="00837C86"/>
    <w:rsid w:val="00856EA8"/>
    <w:rsid w:val="008816C0"/>
    <w:rsid w:val="00881BFB"/>
    <w:rsid w:val="008A7905"/>
    <w:rsid w:val="00923488"/>
    <w:rsid w:val="00926F7B"/>
    <w:rsid w:val="00981E6C"/>
    <w:rsid w:val="009A3641"/>
    <w:rsid w:val="009B5B50"/>
    <w:rsid w:val="009D7B6A"/>
    <w:rsid w:val="00A4065E"/>
    <w:rsid w:val="00A54D25"/>
    <w:rsid w:val="00AD66F2"/>
    <w:rsid w:val="00AE433D"/>
    <w:rsid w:val="00B055E6"/>
    <w:rsid w:val="00B07997"/>
    <w:rsid w:val="00B17136"/>
    <w:rsid w:val="00B538AA"/>
    <w:rsid w:val="00BE00F1"/>
    <w:rsid w:val="00CD1AC2"/>
    <w:rsid w:val="00D61207"/>
    <w:rsid w:val="00DB347C"/>
    <w:rsid w:val="00DB6DB1"/>
    <w:rsid w:val="00DC1BFA"/>
    <w:rsid w:val="00E053A5"/>
    <w:rsid w:val="00E420A2"/>
    <w:rsid w:val="00E727FC"/>
    <w:rsid w:val="00E76C88"/>
    <w:rsid w:val="00E82954"/>
    <w:rsid w:val="00ED27AF"/>
    <w:rsid w:val="00EE75F7"/>
    <w:rsid w:val="00F61653"/>
    <w:rsid w:val="00F62732"/>
    <w:rsid w:val="00F73C29"/>
    <w:rsid w:val="00F766F2"/>
    <w:rsid w:val="00F8741F"/>
    <w:rsid w:val="00FB1C93"/>
    <w:rsid w:val="00FB69CE"/>
    <w:rsid w:val="00FD611B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4AA56"/>
  <w15:docId w15:val="{3DB26AE8-2030-4651-9FE2-4E1F4009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40"/>
    <w:pPr>
      <w:ind w:left="720"/>
      <w:contextualSpacing/>
    </w:pPr>
  </w:style>
  <w:style w:type="table" w:styleId="TableGrid">
    <w:name w:val="Table Grid"/>
    <w:basedOn w:val="TableNormal"/>
    <w:uiPriority w:val="39"/>
    <w:rsid w:val="0034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6E5"/>
  </w:style>
  <w:style w:type="paragraph" w:styleId="Footer">
    <w:name w:val="footer"/>
    <w:basedOn w:val="Normal"/>
    <w:link w:val="FooterChar"/>
    <w:uiPriority w:val="99"/>
    <w:unhideWhenUsed/>
    <w:rsid w:val="00343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6E5"/>
  </w:style>
  <w:style w:type="paragraph" w:styleId="BalloonText">
    <w:name w:val="Balloon Text"/>
    <w:basedOn w:val="Normal"/>
    <w:link w:val="BalloonTextChar"/>
    <w:uiPriority w:val="99"/>
    <w:semiHidden/>
    <w:unhideWhenUsed/>
    <w:rsid w:val="00923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6F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75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75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75F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37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37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371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079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cc.lehigh.edu/sites/research.cc.lehigh.edu/files/documents/ORSP/CURRENT%20Lehigh%20University%20Human%20Subjects%20Research%20Policy%2005-Apr-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ceadmin.lehigh.edu/content/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014E-9A9C-46B9-8E64-6EFFF0DD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Coll</dc:creator>
  <cp:keywords/>
  <dc:description/>
  <cp:lastModifiedBy>md</cp:lastModifiedBy>
  <cp:revision>8</cp:revision>
  <cp:lastPrinted>2016-11-23T19:00:00Z</cp:lastPrinted>
  <dcterms:created xsi:type="dcterms:W3CDTF">2017-05-25T17:34:00Z</dcterms:created>
  <dcterms:modified xsi:type="dcterms:W3CDTF">2023-08-25T14:10:00Z</dcterms:modified>
</cp:coreProperties>
</file>